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349F" w14:textId="77777777" w:rsidR="0029310A" w:rsidRDefault="0029310A" w:rsidP="0029310A">
      <w:bookmarkStart w:id="0" w:name="_GoBack"/>
      <w:bookmarkEnd w:id="0"/>
      <w:r>
        <w:rPr>
          <w:rFonts w:hint="eastAsia"/>
        </w:rPr>
        <w:t>論文選択者：紅林</w:t>
      </w:r>
      <w:r>
        <w:rPr>
          <w:rFonts w:hint="eastAsia"/>
        </w:rPr>
        <w:t xml:space="preserve"> </w:t>
      </w:r>
      <w:r>
        <w:rPr>
          <w:rFonts w:hint="eastAsia"/>
        </w:rPr>
        <w:t>淳一</w:t>
      </w:r>
    </w:p>
    <w:p w14:paraId="2F6E85C3" w14:textId="77777777" w:rsidR="0029310A" w:rsidRDefault="0029310A" w:rsidP="0029310A">
      <w:r>
        <w:rPr>
          <w:rFonts w:hint="eastAsia"/>
        </w:rPr>
        <w:t>選択日：</w:t>
      </w:r>
      <w:r w:rsidR="00483BC2">
        <w:rPr>
          <w:rFonts w:hint="eastAsia"/>
        </w:rPr>
        <w:t>2019</w:t>
      </w:r>
      <w:r w:rsidR="00483BC2">
        <w:rPr>
          <w:rFonts w:hint="eastAsia"/>
        </w:rPr>
        <w:t>年</w:t>
      </w:r>
      <w:r w:rsidR="00483BC2">
        <w:rPr>
          <w:rFonts w:hint="eastAsia"/>
        </w:rPr>
        <w:t>3</w:t>
      </w:r>
      <w:r w:rsidR="00483BC2">
        <w:rPr>
          <w:rFonts w:hint="eastAsia"/>
        </w:rPr>
        <w:t>月</w:t>
      </w:r>
      <w:r w:rsidR="00483BC2">
        <w:rPr>
          <w:rFonts w:hint="eastAsia"/>
        </w:rPr>
        <w:t>29</w:t>
      </w:r>
      <w:r w:rsidR="00483BC2">
        <w:rPr>
          <w:rFonts w:hint="eastAsia"/>
        </w:rPr>
        <w:t>日</w:t>
      </w:r>
    </w:p>
    <w:p w14:paraId="3E0E670D" w14:textId="77777777" w:rsidR="0029310A" w:rsidRDefault="0029310A" w:rsidP="0029310A">
      <w:r>
        <w:rPr>
          <w:rFonts w:hint="eastAsia"/>
        </w:rPr>
        <w:t>論文要約・コメント作成者：河内</w:t>
      </w:r>
      <w:r>
        <w:rPr>
          <w:rFonts w:hint="eastAsia"/>
        </w:rPr>
        <w:t xml:space="preserve"> </w:t>
      </w:r>
      <w:r>
        <w:rPr>
          <w:rFonts w:hint="eastAsia"/>
        </w:rPr>
        <w:t>麻里子</w:t>
      </w:r>
    </w:p>
    <w:p w14:paraId="49943610" w14:textId="77777777" w:rsidR="0029310A" w:rsidRDefault="0029310A" w:rsidP="0029310A">
      <w:r>
        <w:rPr>
          <w:rFonts w:hint="eastAsia"/>
        </w:rPr>
        <w:t>完成日：</w:t>
      </w:r>
      <w:r>
        <w:rPr>
          <w:rFonts w:hint="eastAsia"/>
        </w:rPr>
        <w:t>2019</w:t>
      </w:r>
      <w:r>
        <w:rPr>
          <w:rFonts w:hint="eastAsia"/>
        </w:rPr>
        <w:t>年</w:t>
      </w:r>
      <w:r>
        <w:rPr>
          <w:rFonts w:hint="eastAsia"/>
        </w:rPr>
        <w:t>4</w:t>
      </w:r>
      <w:r>
        <w:rPr>
          <w:rFonts w:hint="eastAsia"/>
        </w:rPr>
        <w:t>月</w:t>
      </w:r>
      <w:r>
        <w:rPr>
          <w:rFonts w:hint="eastAsia"/>
        </w:rPr>
        <w:t>23</w:t>
      </w:r>
      <w:r>
        <w:rPr>
          <w:rFonts w:hint="eastAsia"/>
        </w:rPr>
        <w:t>日</w:t>
      </w:r>
    </w:p>
    <w:p w14:paraId="55EAE392" w14:textId="77777777" w:rsidR="0029310A" w:rsidRDefault="0029310A" w:rsidP="0029310A">
      <w:r>
        <w:rPr>
          <w:rFonts w:hint="eastAsia"/>
        </w:rPr>
        <w:t>校閲者：紅林</w:t>
      </w:r>
      <w:r>
        <w:rPr>
          <w:rFonts w:hint="eastAsia"/>
        </w:rPr>
        <w:t xml:space="preserve"> </w:t>
      </w:r>
      <w:r>
        <w:rPr>
          <w:rFonts w:hint="eastAsia"/>
        </w:rPr>
        <w:t>淳一</w:t>
      </w:r>
    </w:p>
    <w:p w14:paraId="2F293720" w14:textId="77777777" w:rsidR="0082224C" w:rsidRDefault="0029310A" w:rsidP="0029310A">
      <w:r>
        <w:rPr>
          <w:rFonts w:hint="eastAsia"/>
        </w:rPr>
        <w:t>校閲終了日：</w:t>
      </w:r>
      <w:r w:rsidR="00483BC2">
        <w:rPr>
          <w:rFonts w:hint="eastAsia"/>
        </w:rPr>
        <w:t>2019</w:t>
      </w:r>
      <w:r w:rsidR="00483BC2">
        <w:rPr>
          <w:rFonts w:hint="eastAsia"/>
        </w:rPr>
        <w:t>年</w:t>
      </w:r>
      <w:r w:rsidR="00483BC2">
        <w:rPr>
          <w:rFonts w:hint="eastAsia"/>
        </w:rPr>
        <w:t>5</w:t>
      </w:r>
      <w:r w:rsidR="00483BC2">
        <w:rPr>
          <w:rFonts w:hint="eastAsia"/>
        </w:rPr>
        <w:t>月</w:t>
      </w:r>
      <w:r w:rsidR="00483BC2">
        <w:rPr>
          <w:rFonts w:hint="eastAsia"/>
        </w:rPr>
        <w:t>7</w:t>
      </w:r>
      <w:r w:rsidR="00483BC2">
        <w:rPr>
          <w:rFonts w:hint="eastAsia"/>
        </w:rPr>
        <w:t>日</w:t>
      </w:r>
    </w:p>
    <w:p w14:paraId="5B348D5B" w14:textId="77777777" w:rsidR="0029310A" w:rsidRDefault="0029310A" w:rsidP="0029310A"/>
    <w:p w14:paraId="0A1FC7E2" w14:textId="77777777" w:rsidR="0029310A" w:rsidRPr="0029310A" w:rsidRDefault="0029310A" w:rsidP="0029310A">
      <w:pPr>
        <w:rPr>
          <w:sz w:val="22"/>
        </w:rPr>
      </w:pPr>
      <w:r w:rsidRPr="0029310A">
        <w:rPr>
          <w:rFonts w:hint="eastAsia"/>
          <w:sz w:val="22"/>
        </w:rPr>
        <w:t>出典：</w:t>
      </w:r>
      <w:r w:rsidRPr="0029310A">
        <w:rPr>
          <w:rFonts w:hint="eastAsia"/>
          <w:sz w:val="22"/>
        </w:rPr>
        <w:t>J Clin Oncol. 2019 Feb 26:</w:t>
      </w:r>
      <w:r>
        <w:rPr>
          <w:rFonts w:hint="eastAsia"/>
          <w:sz w:val="22"/>
        </w:rPr>
        <w:t xml:space="preserve"> </w:t>
      </w:r>
      <w:r w:rsidRPr="0029310A">
        <w:rPr>
          <w:rFonts w:hint="eastAsia"/>
          <w:sz w:val="22"/>
        </w:rPr>
        <w:t xml:space="preserve">JCO1800925. </w:t>
      </w:r>
      <w:proofErr w:type="spellStart"/>
      <w:r w:rsidRPr="0029310A">
        <w:rPr>
          <w:rFonts w:hint="eastAsia"/>
          <w:sz w:val="22"/>
        </w:rPr>
        <w:t>doi</w:t>
      </w:r>
      <w:proofErr w:type="spellEnd"/>
      <w:r w:rsidRPr="0029310A">
        <w:rPr>
          <w:rFonts w:hint="eastAsia"/>
          <w:sz w:val="22"/>
        </w:rPr>
        <w:t>: 10.1200/JCO.18.00925.</w:t>
      </w:r>
    </w:p>
    <w:p w14:paraId="0043EB31" w14:textId="77777777" w:rsidR="0029310A" w:rsidRPr="0029310A" w:rsidRDefault="0029310A" w:rsidP="0029310A">
      <w:pPr>
        <w:rPr>
          <w:sz w:val="22"/>
        </w:rPr>
      </w:pPr>
      <w:r w:rsidRPr="0029310A">
        <w:rPr>
          <w:rFonts w:hint="eastAsia"/>
          <w:sz w:val="22"/>
        </w:rPr>
        <w:t>表題：</w:t>
      </w:r>
      <w:r w:rsidRPr="0029310A">
        <w:rPr>
          <w:rFonts w:hint="eastAsia"/>
          <w:sz w:val="22"/>
        </w:rPr>
        <w:t xml:space="preserve">Cyclin E1 Expression and </w:t>
      </w:r>
      <w:proofErr w:type="spellStart"/>
      <w:r w:rsidR="00E22E86" w:rsidRPr="00E22E86">
        <w:rPr>
          <w:sz w:val="22"/>
        </w:rPr>
        <w:t>Palbociclib</w:t>
      </w:r>
      <w:proofErr w:type="spellEnd"/>
      <w:r w:rsidRPr="0029310A">
        <w:rPr>
          <w:rFonts w:hint="eastAsia"/>
          <w:sz w:val="22"/>
        </w:rPr>
        <w:t xml:space="preserve"> Efficacy in Prev</w:t>
      </w:r>
      <w:r>
        <w:rPr>
          <w:rFonts w:hint="eastAsia"/>
          <w:sz w:val="22"/>
        </w:rPr>
        <w:t xml:space="preserve">iously Treated Hormone Receptor </w:t>
      </w:r>
      <w:r w:rsidRPr="0029310A">
        <w:rPr>
          <w:rFonts w:hint="eastAsia"/>
          <w:sz w:val="22"/>
        </w:rPr>
        <w:t>Positive Metastatic Breast Cancer</w:t>
      </w:r>
    </w:p>
    <w:p w14:paraId="48A27238" w14:textId="77777777" w:rsidR="00767395" w:rsidRDefault="0029310A" w:rsidP="0029310A">
      <w:r w:rsidRPr="0029310A">
        <w:rPr>
          <w:rFonts w:hint="eastAsia"/>
          <w:sz w:val="22"/>
        </w:rPr>
        <w:t>著者：</w:t>
      </w:r>
      <w:r w:rsidRPr="0029310A">
        <w:rPr>
          <w:rFonts w:hint="eastAsia"/>
          <w:sz w:val="22"/>
        </w:rPr>
        <w:t>Turner NC et al.</w:t>
      </w:r>
    </w:p>
    <w:p w14:paraId="1B04A9C3" w14:textId="77777777" w:rsidR="00C45ACD" w:rsidRDefault="00C45ACD"/>
    <w:p w14:paraId="1CF1506B" w14:textId="77777777" w:rsidR="001154C7" w:rsidRDefault="001154C7">
      <w:r>
        <w:rPr>
          <w:rFonts w:hint="eastAsia"/>
        </w:rPr>
        <w:t>【背景】</w:t>
      </w:r>
    </w:p>
    <w:p w14:paraId="70A6E3A6" w14:textId="77777777" w:rsidR="00CC7114" w:rsidRPr="000E27C1" w:rsidRDefault="00E22E86" w:rsidP="000E27C1">
      <w:pPr>
        <w:ind w:firstLineChars="100" w:firstLine="210"/>
      </w:pPr>
      <w:r>
        <w:t>パルボシクリブ</w:t>
      </w:r>
      <w:r w:rsidR="00052CF2" w:rsidRPr="000E27C1">
        <w:rPr>
          <w:rFonts w:hint="eastAsia"/>
        </w:rPr>
        <w:t>は、サイクリン依存性キナーゼ（</w:t>
      </w:r>
      <w:r w:rsidR="00052CF2" w:rsidRPr="000E27C1">
        <w:t>CDK</w:t>
      </w:r>
      <w:r w:rsidR="00052CF2" w:rsidRPr="000E27C1">
        <w:rPr>
          <w:rFonts w:hint="eastAsia"/>
        </w:rPr>
        <w:t>）</w:t>
      </w:r>
      <w:r w:rsidR="00052CF2" w:rsidRPr="000E27C1">
        <w:t>4/6</w:t>
      </w:r>
      <w:r w:rsidR="00052CF2" w:rsidRPr="000E27C1">
        <w:rPr>
          <w:rFonts w:hint="eastAsia"/>
        </w:rPr>
        <w:t>阻害剤で、</w:t>
      </w:r>
      <w:proofErr w:type="spellStart"/>
      <w:r w:rsidR="00052CF2" w:rsidRPr="000E27C1">
        <w:t>Rb</w:t>
      </w:r>
      <w:proofErr w:type="spellEnd"/>
      <w:r w:rsidR="00052CF2" w:rsidRPr="000E27C1">
        <w:rPr>
          <w:rFonts w:hint="eastAsia"/>
        </w:rPr>
        <w:t>タンパクのリン酸化を抑制し、細胞周期の</w:t>
      </w:r>
      <w:r w:rsidR="00052CF2" w:rsidRPr="000E27C1">
        <w:t>G1</w:t>
      </w:r>
      <w:r w:rsidR="00052CF2" w:rsidRPr="000E27C1">
        <w:rPr>
          <w:rFonts w:hint="eastAsia"/>
        </w:rPr>
        <w:t>期から</w:t>
      </w:r>
      <w:r w:rsidR="00052CF2" w:rsidRPr="000E27C1">
        <w:t>S</w:t>
      </w:r>
      <w:r w:rsidR="00052CF2" w:rsidRPr="000E27C1">
        <w:rPr>
          <w:rFonts w:hint="eastAsia"/>
        </w:rPr>
        <w:t>期への移行を阻害して、乳癌細胞の増殖を抑制する。</w:t>
      </w:r>
    </w:p>
    <w:p w14:paraId="4D783BC8" w14:textId="77777777" w:rsidR="00CC7114" w:rsidRPr="000E27C1" w:rsidRDefault="00052CF2" w:rsidP="00B721C8">
      <w:pPr>
        <w:ind w:firstLineChars="100" w:firstLine="210"/>
      </w:pPr>
      <w:r w:rsidRPr="000E27C1">
        <w:rPr>
          <w:rFonts w:hint="eastAsia"/>
        </w:rPr>
        <w:t>大規模の前向き無作為化臨床試験でも、パルボシクリブとレトロゾールまたはフルベストラントの併用療法は有効性と安全性を示しており、閉経前または閉経後のホルモン感受性陽性</w:t>
      </w:r>
      <w:r w:rsidRPr="000E27C1">
        <w:t>HER2</w:t>
      </w:r>
      <w:r w:rsidRPr="000E27C1">
        <w:rPr>
          <w:rFonts w:hint="eastAsia"/>
        </w:rPr>
        <w:t>陰性転移性乳癌の標準治療として、パルボシクリブとアロマターゼ阻害剤またはフルベストラント併用療法の有用性が示されている。</w:t>
      </w:r>
    </w:p>
    <w:p w14:paraId="189A57D4" w14:textId="77777777" w:rsidR="00CC7114" w:rsidRPr="000E27C1" w:rsidRDefault="00052CF2" w:rsidP="000E27C1">
      <w:pPr>
        <w:ind w:firstLineChars="100" w:firstLine="210"/>
      </w:pPr>
      <w:r w:rsidRPr="000E27C1">
        <w:rPr>
          <w:rFonts w:hint="eastAsia"/>
        </w:rPr>
        <w:t>パルボシクリブ</w:t>
      </w:r>
      <w:r w:rsidR="000E27C1">
        <w:rPr>
          <w:rFonts w:hint="eastAsia"/>
        </w:rPr>
        <w:t>併用療法の有効性が最も期待できる</w:t>
      </w:r>
      <w:r w:rsidRPr="000E27C1">
        <w:rPr>
          <w:rFonts w:hint="eastAsia"/>
        </w:rPr>
        <w:t>患者サブグループの同定や、患者の合理的選択につながり得る耐性メカニズムの解明には、</w:t>
      </w:r>
      <w:r w:rsidR="000E27C1">
        <w:rPr>
          <w:rFonts w:hint="eastAsia"/>
        </w:rPr>
        <w:t>予測因子となる</w:t>
      </w:r>
      <w:r w:rsidRPr="000E27C1">
        <w:rPr>
          <w:rFonts w:hint="eastAsia"/>
        </w:rPr>
        <w:t>バイオマーカーの同定が有用であると考えられる。前臨床研究は、乳がんおよび卵巣がんの細胞株モデルにおけるパルボシクリブ耐性と相関する高いサイクリン</w:t>
      </w:r>
      <w:r w:rsidRPr="000E27C1">
        <w:t>E1</w:t>
      </w:r>
      <w:r w:rsidRPr="000E27C1">
        <w:rPr>
          <w:rFonts w:hint="eastAsia"/>
        </w:rPr>
        <w:t>（</w:t>
      </w:r>
      <w:r w:rsidRPr="000E27C1">
        <w:t>CCNE1</w:t>
      </w:r>
      <w:r w:rsidRPr="000E27C1">
        <w:rPr>
          <w:rFonts w:hint="eastAsia"/>
        </w:rPr>
        <w:t>）発現を伴う、</w:t>
      </w:r>
      <w:r w:rsidRPr="000E27C1">
        <w:t>CDK2</w:t>
      </w:r>
      <w:r w:rsidRPr="000E27C1">
        <w:rPr>
          <w:rFonts w:hint="eastAsia"/>
        </w:rPr>
        <w:t>のバイパス活性化を含む</w:t>
      </w:r>
      <w:r w:rsidRPr="000E27C1">
        <w:t>CDK4 / 6</w:t>
      </w:r>
      <w:r w:rsidRPr="000E27C1">
        <w:rPr>
          <w:rFonts w:hint="eastAsia"/>
        </w:rPr>
        <w:t>阻害剤に対する耐性の潜在的なメカニズムを示唆している。</w:t>
      </w:r>
    </w:p>
    <w:p w14:paraId="74281044" w14:textId="77777777" w:rsidR="00CC7114" w:rsidRPr="000E27C1" w:rsidRDefault="00052CF2" w:rsidP="000E27C1">
      <w:pPr>
        <w:ind w:firstLineChars="100" w:firstLine="210"/>
      </w:pPr>
      <w:r w:rsidRPr="000E27C1">
        <w:rPr>
          <w:rFonts w:hint="eastAsia"/>
        </w:rPr>
        <w:t>他の研究では、</w:t>
      </w:r>
      <w:r w:rsidRPr="000E27C1">
        <w:t>CDK6</w:t>
      </w:r>
      <w:r w:rsidRPr="000E27C1">
        <w:rPr>
          <w:rFonts w:hint="eastAsia"/>
        </w:rPr>
        <w:t>増幅が</w:t>
      </w:r>
      <w:r w:rsidRPr="000E27C1">
        <w:t>CDK4/6</w:t>
      </w:r>
      <w:r w:rsidRPr="000E27C1">
        <w:rPr>
          <w:rFonts w:hint="eastAsia"/>
        </w:rPr>
        <w:t>阻害剤に対する獲得耐性と関連しており、ルミナールサブタイプ乳癌細胞株が非ルミナールサブタイプよりも</w:t>
      </w:r>
      <w:r w:rsidRPr="000E27C1">
        <w:t>CDK4/6</w:t>
      </w:r>
      <w:r w:rsidRPr="000E27C1">
        <w:rPr>
          <w:rFonts w:hint="eastAsia"/>
        </w:rPr>
        <w:t>阻害剤に対してより感受性があることを示している。</w:t>
      </w:r>
    </w:p>
    <w:p w14:paraId="40050002" w14:textId="77777777" w:rsidR="000E27C1" w:rsidRDefault="00052CF2" w:rsidP="000E27C1">
      <w:pPr>
        <w:ind w:firstLineChars="100" w:firstLine="210"/>
      </w:pPr>
      <w:r w:rsidRPr="000E27C1">
        <w:rPr>
          <w:rFonts w:hint="eastAsia"/>
        </w:rPr>
        <w:t>また、</w:t>
      </w:r>
      <w:r w:rsidRPr="000E27C1">
        <w:t>stage</w:t>
      </w:r>
      <w:r w:rsidRPr="000E27C1">
        <w:rPr>
          <w:rFonts w:hint="eastAsia"/>
        </w:rPr>
        <w:t>Ⅱ</w:t>
      </w:r>
      <w:r w:rsidRPr="000E27C1">
        <w:t>-</w:t>
      </w:r>
      <w:r w:rsidRPr="000E27C1">
        <w:rPr>
          <w:rFonts w:hint="eastAsia"/>
        </w:rPr>
        <w:t>Ⅲホルモン感受性陽性乳癌を対象とした術前アナストロゾール・パルボシクリブ併用療法の小規模非無作為化試験</w:t>
      </w:r>
      <w:r w:rsidRPr="000E27C1">
        <w:rPr>
          <w:rFonts w:hint="eastAsia"/>
        </w:rPr>
        <w:t xml:space="preserve"> </w:t>
      </w:r>
      <w:r w:rsidRPr="000E27C1">
        <w:t>(</w:t>
      </w:r>
      <w:proofErr w:type="spellStart"/>
      <w:r w:rsidRPr="000E27C1">
        <w:t>NeoPalAna</w:t>
      </w:r>
      <w:proofErr w:type="spellEnd"/>
      <w:r w:rsidRPr="000E27C1">
        <w:t>)</w:t>
      </w:r>
      <w:r w:rsidRPr="000E27C1">
        <w:rPr>
          <w:rFonts w:hint="eastAsia"/>
        </w:rPr>
        <w:t>では、探索的分析により、</w:t>
      </w:r>
      <w:r w:rsidRPr="000E27C1">
        <w:t>CCNE1</w:t>
      </w:r>
      <w:r w:rsidRPr="000E27C1">
        <w:rPr>
          <w:rFonts w:hint="eastAsia"/>
        </w:rPr>
        <w:t>および</w:t>
      </w:r>
      <w:r w:rsidRPr="000E27C1">
        <w:t>CDKN2D mRNA</w:t>
      </w:r>
      <w:r w:rsidR="000E27C1">
        <w:rPr>
          <w:rFonts w:hint="eastAsia"/>
        </w:rPr>
        <w:t>の高発現がパルボシクリブへの耐性を予測することが示唆された。</w:t>
      </w:r>
    </w:p>
    <w:p w14:paraId="1ADE1795" w14:textId="77777777" w:rsidR="00CC7114" w:rsidRPr="000E27C1" w:rsidRDefault="00052CF2" w:rsidP="000E27C1">
      <w:pPr>
        <w:ind w:firstLineChars="100" w:firstLine="210"/>
      </w:pPr>
      <w:r w:rsidRPr="000E27C1">
        <w:t>CDK4/6</w:t>
      </w:r>
      <w:r w:rsidRPr="000E27C1">
        <w:rPr>
          <w:rFonts w:hint="eastAsia"/>
        </w:rPr>
        <w:t>阻害剤の無作為化試験で、効果予測となるバイオマーカーは同定されていない。</w:t>
      </w:r>
      <w:r w:rsidRPr="000E27C1">
        <w:t>PALOMA-1</w:t>
      </w:r>
      <w:r w:rsidRPr="000E27C1">
        <w:rPr>
          <w:rFonts w:hint="eastAsia"/>
        </w:rPr>
        <w:t>では、</w:t>
      </w:r>
      <w:r w:rsidRPr="000E27C1">
        <w:t>CCND1</w:t>
      </w:r>
      <w:r w:rsidRPr="000E27C1">
        <w:rPr>
          <w:rFonts w:hint="eastAsia"/>
        </w:rPr>
        <w:t>増幅、</w:t>
      </w:r>
      <w:r w:rsidRPr="000E27C1">
        <w:t>p16</w:t>
      </w:r>
      <w:r w:rsidRPr="000E27C1">
        <w:rPr>
          <w:rFonts w:hint="eastAsia"/>
        </w:rPr>
        <w:t>欠失いずれもパルボシクリブの有効性を予測するものではなかった。</w:t>
      </w:r>
      <w:r w:rsidRPr="000E27C1">
        <w:t>PALOMA-2</w:t>
      </w:r>
      <w:r w:rsidRPr="000E27C1">
        <w:rPr>
          <w:rFonts w:hint="eastAsia"/>
        </w:rPr>
        <w:t>でも、</w:t>
      </w:r>
      <w:r w:rsidRPr="000E27C1">
        <w:t>CDK4</w:t>
      </w:r>
      <w:r w:rsidRPr="000E27C1">
        <w:rPr>
          <w:rFonts w:hint="eastAsia"/>
        </w:rPr>
        <w:t>と</w:t>
      </w:r>
      <w:r w:rsidRPr="000E27C1">
        <w:t>CDK6</w:t>
      </w:r>
      <w:r w:rsidRPr="000E27C1">
        <w:rPr>
          <w:rFonts w:hint="eastAsia"/>
        </w:rPr>
        <w:t>の発現はパルボシクリブ・レトロゾール併用の有効性の予測因子ではなかった。</w:t>
      </w:r>
      <w:r w:rsidRPr="000E27C1">
        <w:t>PALOMA-3</w:t>
      </w:r>
      <w:r w:rsidRPr="000E27C1">
        <w:rPr>
          <w:rFonts w:hint="eastAsia"/>
        </w:rPr>
        <w:t>においても、</w:t>
      </w:r>
      <w:r w:rsidRPr="000E27C1">
        <w:t>ESR1</w:t>
      </w:r>
      <w:r w:rsidRPr="000E27C1">
        <w:rPr>
          <w:rFonts w:hint="eastAsia"/>
        </w:rPr>
        <w:t>や</w:t>
      </w:r>
      <w:r w:rsidRPr="000E27C1">
        <w:t>PIK3CA</w:t>
      </w:r>
      <w:r w:rsidRPr="000E27C1">
        <w:rPr>
          <w:rFonts w:hint="eastAsia"/>
        </w:rPr>
        <w:t>変異</w:t>
      </w:r>
      <w:r w:rsidRPr="000E27C1">
        <w:rPr>
          <w:rFonts w:hint="eastAsia"/>
        </w:rPr>
        <w:lastRenderedPageBreak/>
        <w:t>いずれもパルボシクリブ・フルベストラント併用の有効性を予測しなかった。</w:t>
      </w:r>
    </w:p>
    <w:p w14:paraId="553B7436" w14:textId="77777777" w:rsidR="000E27C1" w:rsidRDefault="00052CF2" w:rsidP="000E27C1">
      <w:pPr>
        <w:ind w:firstLineChars="100" w:firstLine="210"/>
      </w:pPr>
      <w:r w:rsidRPr="000E27C1">
        <w:rPr>
          <w:rFonts w:hint="eastAsia"/>
        </w:rPr>
        <w:t>さらに、術前</w:t>
      </w:r>
      <w:r w:rsidR="00E22E86">
        <w:t>パルボシクリブ</w:t>
      </w:r>
      <w:r w:rsidRPr="000E27C1">
        <w:rPr>
          <w:rFonts w:hint="eastAsia"/>
        </w:rPr>
        <w:t>無作為化臨床試験（</w:t>
      </w:r>
      <w:r w:rsidRPr="000E27C1">
        <w:t>POP</w:t>
      </w:r>
      <w:r w:rsidRPr="000E27C1">
        <w:rPr>
          <w:rFonts w:hint="eastAsia"/>
        </w:rPr>
        <w:t>試験）からのデータは、</w:t>
      </w:r>
      <w:r w:rsidRPr="000E27C1">
        <w:t>PIK3CA</w:t>
      </w:r>
      <w:r w:rsidRPr="000E27C1">
        <w:rPr>
          <w:rFonts w:hint="eastAsia"/>
        </w:rPr>
        <w:t>変異および</w:t>
      </w:r>
      <w:r w:rsidRPr="000E27C1">
        <w:t>CCND1</w:t>
      </w:r>
      <w:r w:rsidRPr="000E27C1">
        <w:rPr>
          <w:rFonts w:hint="eastAsia"/>
        </w:rPr>
        <w:t>増幅が</w:t>
      </w:r>
      <w:r w:rsidR="00E22E86">
        <w:t>パルボシクリブ</w:t>
      </w:r>
      <w:r w:rsidRPr="000E27C1">
        <w:rPr>
          <w:rFonts w:hint="eastAsia"/>
        </w:rPr>
        <w:t>の有効性を予測するものではないことを示した。</w:t>
      </w:r>
    </w:p>
    <w:p w14:paraId="64E62796" w14:textId="13134F69" w:rsidR="00CC7114" w:rsidRPr="000E27C1" w:rsidRDefault="00052CF2" w:rsidP="000E27C1">
      <w:pPr>
        <w:ind w:firstLineChars="100" w:firstLine="210"/>
      </w:pPr>
      <w:r w:rsidRPr="000E27C1">
        <w:rPr>
          <w:rFonts w:hint="eastAsia"/>
        </w:rPr>
        <w:t>そこで、本研究では、フルベストラントにパルボシクリブを上乗せすることの相対的有効性を予測するバイオマーカーを同定するため、</w:t>
      </w:r>
      <w:r w:rsidRPr="000E27C1">
        <w:t>PALOMA-3</w:t>
      </w:r>
      <w:r w:rsidRPr="000E27C1">
        <w:rPr>
          <w:rFonts w:hint="eastAsia"/>
        </w:rPr>
        <w:t>の</w:t>
      </w:r>
      <w:r w:rsidRPr="000E27C1">
        <w:t>baseline</w:t>
      </w:r>
      <w:r w:rsidRPr="000E27C1">
        <w:rPr>
          <w:rFonts w:hint="eastAsia"/>
        </w:rPr>
        <w:t>の腫瘍組織</w:t>
      </w:r>
      <w:r w:rsidR="00045EA4">
        <w:rPr>
          <w:rFonts w:hint="eastAsia"/>
        </w:rPr>
        <w:t>の</w:t>
      </w:r>
      <w:r w:rsidRPr="000E27C1">
        <w:rPr>
          <w:rFonts w:hint="eastAsia"/>
        </w:rPr>
        <w:t>ラージパネルを用いて検証した。</w:t>
      </w:r>
    </w:p>
    <w:p w14:paraId="6C899BE0" w14:textId="77777777" w:rsidR="0029310A" w:rsidRPr="000E27C1" w:rsidRDefault="0029310A" w:rsidP="0029310A"/>
    <w:p w14:paraId="762DE046" w14:textId="77777777" w:rsidR="001154C7" w:rsidRDefault="001154C7">
      <w:r>
        <w:rPr>
          <w:rFonts w:hint="eastAsia"/>
        </w:rPr>
        <w:t>【方法】</w:t>
      </w:r>
    </w:p>
    <w:p w14:paraId="5901E007" w14:textId="77777777" w:rsidR="0029310A" w:rsidRDefault="0029310A" w:rsidP="0029310A">
      <w:r>
        <w:rPr>
          <w:rFonts w:hint="eastAsia"/>
        </w:rPr>
        <w:t>＜</w:t>
      </w:r>
      <w:r>
        <w:rPr>
          <w:rFonts w:hint="eastAsia"/>
        </w:rPr>
        <w:t>Samples</w:t>
      </w:r>
      <w:r>
        <w:rPr>
          <w:rFonts w:hint="eastAsia"/>
        </w:rPr>
        <w:t>＞</w:t>
      </w:r>
    </w:p>
    <w:p w14:paraId="37FC5D76" w14:textId="77777777" w:rsidR="000E27C1" w:rsidRPr="000E27C1" w:rsidRDefault="000E27C1" w:rsidP="000E27C1">
      <w:pPr>
        <w:ind w:firstLineChars="100" w:firstLine="210"/>
      </w:pPr>
      <w:r w:rsidRPr="000E27C1">
        <w:t>PALOMA-3</w:t>
      </w:r>
      <w:r w:rsidRPr="000E27C1">
        <w:rPr>
          <w:rFonts w:hint="eastAsia"/>
        </w:rPr>
        <w:t>は内分泌療法の前治療歴のある転移性乳癌患者を対象に、</w:t>
      </w:r>
      <w:r w:rsidRPr="000E27C1">
        <w:t>521</w:t>
      </w:r>
      <w:r w:rsidRPr="000E27C1">
        <w:rPr>
          <w:rFonts w:hint="eastAsia"/>
        </w:rPr>
        <w:t>名をフルベストラント＋パルボシクリブ</w:t>
      </w:r>
      <w:r w:rsidRPr="000E27C1">
        <w:rPr>
          <w:rFonts w:hint="eastAsia"/>
        </w:rPr>
        <w:t xml:space="preserve"> </w:t>
      </w:r>
      <w:r w:rsidRPr="000E27C1">
        <w:t xml:space="preserve">or </w:t>
      </w:r>
      <w:r w:rsidRPr="000E27C1">
        <w:rPr>
          <w:rFonts w:hint="eastAsia"/>
        </w:rPr>
        <w:t>プラセボ群に無作為割付けした。</w:t>
      </w:r>
    </w:p>
    <w:p w14:paraId="679A4770" w14:textId="77777777" w:rsidR="000E27C1" w:rsidRPr="000E27C1" w:rsidRDefault="000E27C1" w:rsidP="000E27C1">
      <w:pPr>
        <w:ind w:firstLineChars="100" w:firstLine="210"/>
      </w:pPr>
      <w:r w:rsidRPr="000E27C1">
        <w:rPr>
          <w:rFonts w:hint="eastAsia"/>
        </w:rPr>
        <w:t>骨転移のみもしくは術後療法施行中に転移再発をきたした症例、登録</w:t>
      </w:r>
      <w:r w:rsidRPr="000E27C1">
        <w:t>3</w:t>
      </w:r>
      <w:r w:rsidRPr="000E27C1">
        <w:rPr>
          <w:rFonts w:hint="eastAsia"/>
        </w:rPr>
        <w:t>年以内に手術を受けており、保存されている原発巣のサンプルを提供可能な患者を除く、すべての患者から転移巣の</w:t>
      </w:r>
      <w:r w:rsidRPr="000E27C1">
        <w:t>FFPE</w:t>
      </w:r>
      <w:r w:rsidR="007072BB">
        <w:rPr>
          <w:rFonts w:hint="eastAsia"/>
        </w:rPr>
        <w:t>サンプルを採取し、</w:t>
      </w:r>
      <w:r w:rsidRPr="000E27C1">
        <w:t>HE</w:t>
      </w:r>
      <w:r w:rsidRPr="000E27C1">
        <w:rPr>
          <w:rFonts w:hint="eastAsia"/>
        </w:rPr>
        <w:t>染色スライドで腫瘍</w:t>
      </w:r>
      <w:r w:rsidR="00805EAD">
        <w:rPr>
          <w:rFonts w:hint="eastAsia"/>
        </w:rPr>
        <w:t>含有量と組織</w:t>
      </w:r>
      <w:r w:rsidRPr="000E27C1">
        <w:rPr>
          <w:rFonts w:hint="eastAsia"/>
        </w:rPr>
        <w:t>壊死</w:t>
      </w:r>
      <w:r w:rsidR="00805EAD">
        <w:rPr>
          <w:rFonts w:hint="eastAsia"/>
        </w:rPr>
        <w:t>の</w:t>
      </w:r>
      <w:r w:rsidRPr="000E27C1">
        <w:rPr>
          <w:rFonts w:hint="eastAsia"/>
        </w:rPr>
        <w:t>中央評価</w:t>
      </w:r>
      <w:r w:rsidR="007072BB">
        <w:rPr>
          <w:rFonts w:hint="eastAsia"/>
        </w:rPr>
        <w:t>を行った</w:t>
      </w:r>
      <w:r w:rsidRPr="000E27C1">
        <w:rPr>
          <w:rFonts w:hint="eastAsia"/>
        </w:rPr>
        <w:t>。</w:t>
      </w:r>
    </w:p>
    <w:p w14:paraId="24B39025" w14:textId="77777777" w:rsidR="0029310A" w:rsidRDefault="000E27C1" w:rsidP="000E27C1">
      <w:pPr>
        <w:ind w:firstLineChars="100" w:firstLine="210"/>
      </w:pPr>
      <w:r w:rsidRPr="000E27C1">
        <w:t>CCNE1 mRNA</w:t>
      </w:r>
      <w:r w:rsidRPr="000E27C1">
        <w:rPr>
          <w:rFonts w:hint="eastAsia"/>
        </w:rPr>
        <w:t>発現とパルボシクリブの有効性の関連を検証するため、</w:t>
      </w:r>
      <w:r w:rsidRPr="000E27C1">
        <w:t>POP</w:t>
      </w:r>
      <w:r w:rsidRPr="000E27C1">
        <w:rPr>
          <w:rFonts w:hint="eastAsia"/>
        </w:rPr>
        <w:t>試験に登録されている</w:t>
      </w:r>
      <w:r w:rsidRPr="000E27C1">
        <w:t>61</w:t>
      </w:r>
      <w:r w:rsidRPr="000E27C1">
        <w:rPr>
          <w:rFonts w:hint="eastAsia"/>
        </w:rPr>
        <w:t>人の患者の遺伝子発現データを分析した。</w:t>
      </w:r>
    </w:p>
    <w:p w14:paraId="17ADA9F8" w14:textId="77777777" w:rsidR="0029310A" w:rsidRDefault="0029310A" w:rsidP="0029310A"/>
    <w:p w14:paraId="7C5E505A" w14:textId="77777777" w:rsidR="0029310A" w:rsidRDefault="0029310A" w:rsidP="0029310A">
      <w:r>
        <w:rPr>
          <w:rFonts w:hint="eastAsia"/>
        </w:rPr>
        <w:t>＜</w:t>
      </w:r>
      <w:r>
        <w:rPr>
          <w:rFonts w:hint="eastAsia"/>
        </w:rPr>
        <w:t>Gene Expression Analysis</w:t>
      </w:r>
      <w:r>
        <w:rPr>
          <w:rFonts w:hint="eastAsia"/>
        </w:rPr>
        <w:t>＞</w:t>
      </w:r>
    </w:p>
    <w:p w14:paraId="493D94EA" w14:textId="77777777" w:rsidR="000E27C1" w:rsidRPr="000E27C1" w:rsidRDefault="000E27C1" w:rsidP="000E27C1">
      <w:pPr>
        <w:ind w:firstLineChars="100" w:firstLine="210"/>
      </w:pPr>
      <w:proofErr w:type="spellStart"/>
      <w:r w:rsidRPr="000E27C1">
        <w:t>EdgeSeq</w:t>
      </w:r>
      <w:proofErr w:type="spellEnd"/>
      <w:r w:rsidRPr="000E27C1">
        <w:t xml:space="preserve"> Oncology BM</w:t>
      </w:r>
      <w:r w:rsidRPr="000E27C1">
        <w:rPr>
          <w:rFonts w:hint="eastAsia"/>
        </w:rPr>
        <w:t>パネルを用いて</w:t>
      </w:r>
      <w:r w:rsidRPr="000E27C1">
        <w:t>mRNA</w:t>
      </w:r>
      <w:r w:rsidRPr="000E27C1">
        <w:rPr>
          <w:rFonts w:hint="eastAsia"/>
        </w:rPr>
        <w:t>プロファイリングを行い、</w:t>
      </w:r>
      <w:r w:rsidRPr="000E27C1">
        <w:t>2534</w:t>
      </w:r>
      <w:r w:rsidRPr="000E27C1">
        <w:rPr>
          <w:rFonts w:hint="eastAsia"/>
        </w:rPr>
        <w:t>の癌関連遺伝子を評価</w:t>
      </w:r>
      <w:r w:rsidR="007072BB">
        <w:rPr>
          <w:rFonts w:hint="eastAsia"/>
        </w:rPr>
        <w:t>した</w:t>
      </w:r>
      <w:r w:rsidRPr="000E27C1">
        <w:rPr>
          <w:rFonts w:hint="eastAsia"/>
        </w:rPr>
        <w:t>。</w:t>
      </w:r>
    </w:p>
    <w:p w14:paraId="5A86B78A" w14:textId="77777777" w:rsidR="000E27C1" w:rsidRPr="000E27C1" w:rsidRDefault="000E27C1" w:rsidP="000E27C1">
      <w:pPr>
        <w:ind w:firstLineChars="100" w:firstLine="210"/>
      </w:pPr>
      <w:proofErr w:type="spellStart"/>
      <w:r w:rsidRPr="000E27C1">
        <w:t>NextSeq</w:t>
      </w:r>
      <w:proofErr w:type="spellEnd"/>
      <w:r w:rsidRPr="000E27C1">
        <w:t xml:space="preserve"> 500 sequencer (Illumina, San Diego, CA) </w:t>
      </w:r>
      <w:r w:rsidRPr="000E27C1">
        <w:rPr>
          <w:rFonts w:hint="eastAsia"/>
        </w:rPr>
        <w:t>を用いて解析</w:t>
      </w:r>
      <w:r w:rsidR="007072BB">
        <w:rPr>
          <w:rFonts w:hint="eastAsia"/>
        </w:rPr>
        <w:t>し、</w:t>
      </w:r>
      <w:r w:rsidRPr="000E27C1">
        <w:rPr>
          <w:rFonts w:hint="eastAsia"/>
        </w:rPr>
        <w:t>解析結果の生データは</w:t>
      </w:r>
      <w:r w:rsidRPr="000E27C1">
        <w:t>GEO</w:t>
      </w:r>
      <w:r w:rsidRPr="000E27C1">
        <w:rPr>
          <w:rFonts w:hint="eastAsia"/>
        </w:rPr>
        <w:t>に</w:t>
      </w:r>
      <w:r w:rsidRPr="000E27C1">
        <w:t>deposit</w:t>
      </w:r>
      <w:r w:rsidR="007072BB">
        <w:rPr>
          <w:rFonts w:hint="eastAsia"/>
        </w:rPr>
        <w:t>している。</w:t>
      </w:r>
    </w:p>
    <w:p w14:paraId="7D3BFD80" w14:textId="77777777" w:rsidR="000E27C1" w:rsidRPr="000E27C1" w:rsidRDefault="000E27C1" w:rsidP="000E27C1">
      <w:pPr>
        <w:ind w:firstLineChars="100" w:firstLine="210"/>
      </w:pPr>
      <w:r w:rsidRPr="000E27C1">
        <w:t>POP</w:t>
      </w:r>
      <w:r w:rsidRPr="000E27C1">
        <w:rPr>
          <w:rFonts w:hint="eastAsia"/>
        </w:rPr>
        <w:t>試験における</w:t>
      </w:r>
      <w:r w:rsidRPr="000E27C1">
        <w:t>CCNE1 mRNA</w:t>
      </w:r>
      <w:r w:rsidRPr="000E27C1">
        <w:rPr>
          <w:rFonts w:hint="eastAsia"/>
        </w:rPr>
        <w:t>発現データの解析には</w:t>
      </w:r>
      <w:r w:rsidRPr="000E27C1">
        <w:rPr>
          <w:rFonts w:hint="eastAsia"/>
        </w:rPr>
        <w:t xml:space="preserve"> </w:t>
      </w:r>
      <w:proofErr w:type="spellStart"/>
      <w:r w:rsidRPr="000E27C1">
        <w:t>GeneChip</w:t>
      </w:r>
      <w:proofErr w:type="spellEnd"/>
      <w:r w:rsidRPr="000E27C1">
        <w:t xml:space="preserve"> Human Gene Array ST2.1 (Affymetrix, Santa Clara, CA) </w:t>
      </w:r>
      <w:r w:rsidRPr="000E27C1">
        <w:rPr>
          <w:rFonts w:hint="eastAsia"/>
        </w:rPr>
        <w:t>を使用</w:t>
      </w:r>
      <w:r w:rsidR="007072BB">
        <w:rPr>
          <w:rFonts w:hint="eastAsia"/>
        </w:rPr>
        <w:t>した</w:t>
      </w:r>
      <w:r w:rsidRPr="000E27C1">
        <w:rPr>
          <w:rFonts w:hint="eastAsia"/>
        </w:rPr>
        <w:t>。</w:t>
      </w:r>
    </w:p>
    <w:p w14:paraId="01790593" w14:textId="77777777" w:rsidR="0029310A" w:rsidRPr="000E27C1" w:rsidRDefault="0029310A" w:rsidP="0029310A"/>
    <w:p w14:paraId="1AD78570" w14:textId="77777777" w:rsidR="0029310A" w:rsidRDefault="0029310A" w:rsidP="0029310A">
      <w:r>
        <w:rPr>
          <w:rFonts w:hint="eastAsia"/>
        </w:rPr>
        <w:t>＜</w:t>
      </w:r>
      <w:r>
        <w:rPr>
          <w:rFonts w:hint="eastAsia"/>
        </w:rPr>
        <w:t>Gene Expression Hypothesis-Driven Statistical Analysis</w:t>
      </w:r>
      <w:r>
        <w:rPr>
          <w:rFonts w:hint="eastAsia"/>
        </w:rPr>
        <w:t>＞</w:t>
      </w:r>
    </w:p>
    <w:p w14:paraId="5926D388" w14:textId="77777777" w:rsidR="000E27C1" w:rsidRPr="000E27C1" w:rsidRDefault="000E27C1" w:rsidP="000E27C1">
      <w:pPr>
        <w:ind w:firstLineChars="100" w:firstLine="210"/>
      </w:pPr>
      <w:r w:rsidRPr="000E27C1">
        <w:rPr>
          <w:rFonts w:hint="eastAsia"/>
        </w:rPr>
        <w:t>遺伝子発現データを</w:t>
      </w:r>
      <w:r w:rsidRPr="000E27C1">
        <w:t>quantile normalization</w:t>
      </w:r>
      <w:r w:rsidRPr="000E27C1">
        <w:rPr>
          <w:rFonts w:hint="eastAsia"/>
        </w:rPr>
        <w:t>および</w:t>
      </w:r>
      <w:r w:rsidRPr="000E27C1">
        <w:t>log2</w:t>
      </w:r>
      <w:r w:rsidRPr="000E27C1">
        <w:rPr>
          <w:rFonts w:hint="eastAsia"/>
        </w:rPr>
        <w:t>変換し、</w:t>
      </w:r>
      <w:r w:rsidRPr="000E27C1">
        <w:t>pathway biology</w:t>
      </w:r>
      <w:r w:rsidRPr="000E27C1">
        <w:rPr>
          <w:rFonts w:hint="eastAsia"/>
        </w:rPr>
        <w:t>および前臨床試験と</w:t>
      </w:r>
      <w:proofErr w:type="spellStart"/>
      <w:r w:rsidRPr="000E27C1">
        <w:t>NeoPalANA</w:t>
      </w:r>
      <w:proofErr w:type="spellEnd"/>
      <w:r w:rsidRPr="000E27C1">
        <w:rPr>
          <w:rFonts w:hint="eastAsia"/>
        </w:rPr>
        <w:t>試験の</w:t>
      </w:r>
      <w:r w:rsidRPr="000E27C1">
        <w:t>evidence</w:t>
      </w:r>
      <w:r w:rsidRPr="000E27C1">
        <w:rPr>
          <w:rFonts w:hint="eastAsia"/>
        </w:rPr>
        <w:t>に基づき、</w:t>
      </w:r>
      <w:r w:rsidRPr="000E27C1">
        <w:t>10</w:t>
      </w:r>
      <w:r w:rsidRPr="000E27C1">
        <w:rPr>
          <w:rFonts w:hint="eastAsia"/>
        </w:rPr>
        <w:t>個の遺伝子に対して解析し、</w:t>
      </w:r>
      <w:r w:rsidRPr="000E27C1">
        <w:t>COX</w:t>
      </w:r>
      <w:r w:rsidRPr="000E27C1">
        <w:rPr>
          <w:rFonts w:hint="eastAsia"/>
        </w:rPr>
        <w:t>比例ハザード回帰分析を行い、連続変数としてもしくは中央値で二分したバイオマーカーレベルと、無増悪生存期間</w:t>
      </w:r>
      <w:r w:rsidRPr="000E27C1">
        <w:t>(PFS)</w:t>
      </w:r>
      <w:r w:rsidRPr="000E27C1">
        <w:rPr>
          <w:rFonts w:hint="eastAsia"/>
        </w:rPr>
        <w:t>の観点から治療効果との相互作用を検証した。</w:t>
      </w:r>
      <w:r w:rsidRPr="000E27C1">
        <w:rPr>
          <w:rFonts w:hint="eastAsia"/>
        </w:rPr>
        <w:t xml:space="preserve"> </w:t>
      </w:r>
    </w:p>
    <w:p w14:paraId="418DF670" w14:textId="77777777" w:rsidR="000E27C1" w:rsidRPr="000E27C1" w:rsidRDefault="000E27C1" w:rsidP="000E27C1">
      <w:pPr>
        <w:ind w:firstLineChars="100" w:firstLine="210"/>
      </w:pPr>
      <w:r w:rsidRPr="000E27C1">
        <w:rPr>
          <w:rFonts w:hint="eastAsia"/>
        </w:rPr>
        <w:t>多重比較検定補正のため、</w:t>
      </w:r>
      <w:proofErr w:type="spellStart"/>
      <w:r w:rsidRPr="000E27C1">
        <w:t>Benjamini</w:t>
      </w:r>
      <w:proofErr w:type="spellEnd"/>
      <w:r w:rsidRPr="000E27C1">
        <w:t xml:space="preserve">-Hochberg false discovery rate (FDR) </w:t>
      </w:r>
      <w:r w:rsidRPr="000E27C1">
        <w:rPr>
          <w:rFonts w:hint="eastAsia"/>
        </w:rPr>
        <w:t>を用いて</w:t>
      </w:r>
      <w:r w:rsidRPr="000E27C1">
        <w:t>p</w:t>
      </w:r>
      <w:r w:rsidRPr="000E27C1">
        <w:rPr>
          <w:rFonts w:hint="eastAsia"/>
        </w:rPr>
        <w:t>値を調整</w:t>
      </w:r>
      <w:r w:rsidR="00FF0239">
        <w:rPr>
          <w:rFonts w:hint="eastAsia"/>
        </w:rPr>
        <w:t>した</w:t>
      </w:r>
      <w:r w:rsidRPr="000E27C1">
        <w:rPr>
          <w:rFonts w:hint="eastAsia"/>
        </w:rPr>
        <w:t>。</w:t>
      </w:r>
    </w:p>
    <w:p w14:paraId="7E3409BD" w14:textId="77777777" w:rsidR="000E27C1" w:rsidRPr="000E27C1" w:rsidRDefault="000E27C1" w:rsidP="000E27C1">
      <w:pPr>
        <w:ind w:firstLineChars="100" w:firstLine="210"/>
      </w:pPr>
      <w:r w:rsidRPr="000E27C1">
        <w:rPr>
          <w:rFonts w:hint="eastAsia"/>
        </w:rPr>
        <w:t>治療相互作用による</w:t>
      </w:r>
      <w:r w:rsidRPr="000E27C1">
        <w:t>CCNE1 mRNA</w:t>
      </w:r>
      <w:r w:rsidRPr="000E27C1">
        <w:rPr>
          <w:rFonts w:hint="eastAsia"/>
        </w:rPr>
        <w:t>発現の変動レベルを、</w:t>
      </w:r>
      <w:r w:rsidRPr="000E27C1">
        <w:t xml:space="preserve">nonparametric subpopulation treatment effect pattern plot (STEPP) </w:t>
      </w:r>
      <w:r w:rsidRPr="000E27C1">
        <w:rPr>
          <w:rFonts w:hint="eastAsia"/>
        </w:rPr>
        <w:t>法を用いて評価</w:t>
      </w:r>
      <w:r w:rsidR="00FF0239">
        <w:rPr>
          <w:rFonts w:hint="eastAsia"/>
        </w:rPr>
        <w:t>した</w:t>
      </w:r>
      <w:r w:rsidRPr="000E27C1">
        <w:rPr>
          <w:rFonts w:hint="eastAsia"/>
        </w:rPr>
        <w:t>。</w:t>
      </w:r>
    </w:p>
    <w:p w14:paraId="2D669CCF" w14:textId="77777777" w:rsidR="000E27C1" w:rsidRDefault="000E27C1" w:rsidP="000E27C1">
      <w:pPr>
        <w:ind w:firstLineChars="100" w:firstLine="210"/>
      </w:pPr>
      <w:r w:rsidRPr="000E27C1">
        <w:rPr>
          <w:rFonts w:hint="eastAsia"/>
        </w:rPr>
        <w:t>データ解析には、</w:t>
      </w:r>
      <w:r w:rsidRPr="000E27C1">
        <w:t>R</w:t>
      </w:r>
      <w:r w:rsidRPr="000E27C1">
        <w:rPr>
          <w:rFonts w:hint="eastAsia"/>
        </w:rPr>
        <w:t>および</w:t>
      </w:r>
      <w:r w:rsidRPr="000E27C1">
        <w:t>MATLAB</w:t>
      </w:r>
      <w:r w:rsidRPr="000E27C1">
        <w:rPr>
          <w:rFonts w:hint="eastAsia"/>
        </w:rPr>
        <w:t>統計ソフトウェアを使用</w:t>
      </w:r>
      <w:r w:rsidR="00FF0239">
        <w:rPr>
          <w:rFonts w:hint="eastAsia"/>
        </w:rPr>
        <w:t>し、</w:t>
      </w:r>
      <w:r w:rsidRPr="000E27C1">
        <w:rPr>
          <w:rFonts w:hint="eastAsia"/>
        </w:rPr>
        <w:t>特に記載のない限り、</w:t>
      </w:r>
      <w:r w:rsidRPr="000E27C1">
        <w:rPr>
          <w:rFonts w:hint="eastAsia"/>
        </w:rPr>
        <w:lastRenderedPageBreak/>
        <w:t>いずれ</w:t>
      </w:r>
      <w:r w:rsidR="00FF0239">
        <w:rPr>
          <w:rFonts w:hint="eastAsia"/>
        </w:rPr>
        <w:t>の検定</w:t>
      </w:r>
      <w:r w:rsidRPr="000E27C1">
        <w:rPr>
          <w:rFonts w:hint="eastAsia"/>
        </w:rPr>
        <w:t>も両側検定</w:t>
      </w:r>
      <w:r w:rsidR="00FF0239">
        <w:rPr>
          <w:rFonts w:hint="eastAsia"/>
        </w:rPr>
        <w:t>である</w:t>
      </w:r>
      <w:r w:rsidRPr="000E27C1">
        <w:rPr>
          <w:rFonts w:hint="eastAsia"/>
        </w:rPr>
        <w:t>。</w:t>
      </w:r>
    </w:p>
    <w:p w14:paraId="549A827F" w14:textId="77777777" w:rsidR="000E27C1" w:rsidRPr="000E27C1" w:rsidRDefault="000E27C1" w:rsidP="000E27C1">
      <w:pPr>
        <w:ind w:firstLineChars="100" w:firstLine="210"/>
      </w:pPr>
      <w:r w:rsidRPr="000E27C1">
        <w:t>POP</w:t>
      </w:r>
      <w:r w:rsidRPr="000E27C1">
        <w:rPr>
          <w:rFonts w:hint="eastAsia"/>
        </w:rPr>
        <w:t>試験のサンプルにおいて、</w:t>
      </w:r>
      <w:r w:rsidRPr="000E27C1">
        <w:t>CCNE1 mRNA</w:t>
      </w:r>
      <w:r w:rsidRPr="000E27C1">
        <w:rPr>
          <w:rFonts w:hint="eastAsia"/>
        </w:rPr>
        <w:t>発現が高いほど、より低い絶対的な抗増殖反応（</w:t>
      </w:r>
      <w:r w:rsidRPr="000E27C1">
        <w:t>MKI67</w:t>
      </w:r>
      <w:r w:rsidRPr="000E27C1">
        <w:rPr>
          <w:rFonts w:hint="eastAsia"/>
        </w:rPr>
        <w:t>遺伝子によってコードされる</w:t>
      </w:r>
      <w:r w:rsidRPr="000E27C1">
        <w:t>ln</w:t>
      </w:r>
      <w:r w:rsidRPr="000E27C1">
        <w:rPr>
          <w:rFonts w:hint="eastAsia"/>
        </w:rPr>
        <w:t>たんぱく</w:t>
      </w:r>
      <w:r w:rsidRPr="000E27C1">
        <w:rPr>
          <w:rFonts w:hint="eastAsia"/>
        </w:rPr>
        <w:t xml:space="preserve"> </w:t>
      </w:r>
      <w:r w:rsidRPr="000E27C1">
        <w:t>[Ki-67]&lt; 1% at day 15</w:t>
      </w:r>
      <w:r w:rsidRPr="000E27C1">
        <w:rPr>
          <w:rFonts w:hint="eastAsia"/>
        </w:rPr>
        <w:t>）と関連しているかを検証するため、コクランアーミテージの傾向検定を用い、</w:t>
      </w:r>
      <w:r w:rsidRPr="000E27C1">
        <w:t>CCNE1 mRNA</w:t>
      </w:r>
      <w:r w:rsidRPr="000E27C1">
        <w:rPr>
          <w:rFonts w:hint="eastAsia"/>
        </w:rPr>
        <w:t>発現</w:t>
      </w:r>
      <w:r w:rsidR="00805EAD">
        <w:rPr>
          <w:rFonts w:hint="eastAsia"/>
        </w:rPr>
        <w:t>レベル</w:t>
      </w:r>
      <w:r w:rsidRPr="000E27C1">
        <w:rPr>
          <w:rFonts w:hint="eastAsia"/>
        </w:rPr>
        <w:t>を</w:t>
      </w:r>
      <w:r w:rsidRPr="000E27C1">
        <w:t>3</w:t>
      </w:r>
      <w:r w:rsidRPr="000E27C1">
        <w:rPr>
          <w:rFonts w:hint="eastAsia"/>
        </w:rPr>
        <w:t>分して検討した。</w:t>
      </w:r>
    </w:p>
    <w:p w14:paraId="468D1F0C" w14:textId="77777777" w:rsidR="0029310A" w:rsidRPr="000E27C1" w:rsidRDefault="000E27C1" w:rsidP="000E27C1">
      <w:pPr>
        <w:ind w:firstLineChars="100" w:firstLine="210"/>
      </w:pPr>
      <w:r w:rsidRPr="000E27C1">
        <w:t>CCNE1 mRNA</w:t>
      </w:r>
      <w:r w:rsidRPr="000E27C1">
        <w:rPr>
          <w:rFonts w:hint="eastAsia"/>
        </w:rPr>
        <w:t>三分位における</w:t>
      </w:r>
      <w:r w:rsidR="00E22E86">
        <w:t>パルボシクリブ</w:t>
      </w:r>
      <w:r w:rsidRPr="000E27C1">
        <w:rPr>
          <w:rFonts w:hint="eastAsia"/>
        </w:rPr>
        <w:t>治療群の</w:t>
      </w:r>
      <w:r w:rsidRPr="000E27C1">
        <w:t>ln Ki-67</w:t>
      </w:r>
      <w:r w:rsidRPr="000E27C1">
        <w:rPr>
          <w:rFonts w:hint="eastAsia"/>
        </w:rPr>
        <w:t>のベースラインからの変化について、共分散解析を行った。分析は、両側有意水準</w:t>
      </w:r>
      <w:r w:rsidRPr="000E27C1">
        <w:t>0.05</w:t>
      </w:r>
      <w:r w:rsidRPr="000E27C1">
        <w:rPr>
          <w:rFonts w:hint="eastAsia"/>
        </w:rPr>
        <w:t>として行った。</w:t>
      </w:r>
    </w:p>
    <w:p w14:paraId="2EECF231" w14:textId="77777777" w:rsidR="0029310A" w:rsidRDefault="0029310A" w:rsidP="0029310A"/>
    <w:p w14:paraId="53140BAE" w14:textId="77777777" w:rsidR="0029310A" w:rsidRDefault="0029310A" w:rsidP="0029310A">
      <w:r>
        <w:rPr>
          <w:rFonts w:hint="eastAsia"/>
        </w:rPr>
        <w:t>＜</w:t>
      </w:r>
      <w:r>
        <w:rPr>
          <w:rFonts w:hint="eastAsia"/>
        </w:rPr>
        <w:t>Exploratory Unbiased Discovery Statistical Analysis</w:t>
      </w:r>
      <w:r>
        <w:rPr>
          <w:rFonts w:hint="eastAsia"/>
        </w:rPr>
        <w:t>＞</w:t>
      </w:r>
    </w:p>
    <w:p w14:paraId="4310EFCC" w14:textId="77777777" w:rsidR="000E27C1" w:rsidRPr="000E27C1" w:rsidRDefault="000E27C1" w:rsidP="000E27C1">
      <w:pPr>
        <w:ind w:firstLineChars="100" w:firstLine="210"/>
      </w:pPr>
      <w:r w:rsidRPr="000E27C1">
        <w:rPr>
          <w:rFonts w:hint="eastAsia"/>
        </w:rPr>
        <w:t>パルボシクリブの上乗せ効果が大きい患者群を同定しうる遺伝子発現バイオマーカーについて、探索的解析を行った。</w:t>
      </w:r>
    </w:p>
    <w:p w14:paraId="7BCC39ED" w14:textId="77777777" w:rsidR="000E27C1" w:rsidRPr="000E27C1" w:rsidRDefault="000E27C1" w:rsidP="000E27C1">
      <w:pPr>
        <w:ind w:firstLineChars="100" w:firstLine="210"/>
      </w:pPr>
      <w:r w:rsidRPr="000E27C1">
        <w:t>Cox</w:t>
      </w:r>
      <w:r w:rsidRPr="000E27C1">
        <w:rPr>
          <w:rFonts w:hint="eastAsia"/>
        </w:rPr>
        <w:t>比例ハザード回帰分析を用いて、連続変数としての発現がパルボシクリブ群の治療効果と有意に関連していた遺伝子群に絞り込み（</w:t>
      </w:r>
      <w:r w:rsidRPr="000E27C1">
        <w:t>P &lt;0.01</w:t>
      </w:r>
      <w:r w:rsidRPr="000E27C1">
        <w:rPr>
          <w:rFonts w:hint="eastAsia"/>
        </w:rPr>
        <w:t>）、次いでこれらの遺伝子群について</w:t>
      </w:r>
      <w:r w:rsidRPr="000E27C1">
        <w:t>cross-arm</w:t>
      </w:r>
      <w:r w:rsidRPr="000E27C1">
        <w:rPr>
          <w:rFonts w:hint="eastAsia"/>
        </w:rPr>
        <w:t>解析を行った。</w:t>
      </w:r>
    </w:p>
    <w:p w14:paraId="64D72A9D" w14:textId="77777777" w:rsidR="000E27C1" w:rsidRPr="000E27C1" w:rsidRDefault="000E27C1" w:rsidP="000E27C1">
      <w:pPr>
        <w:ind w:firstLineChars="100" w:firstLine="210"/>
      </w:pPr>
      <w:r w:rsidRPr="000E27C1">
        <w:rPr>
          <w:rFonts w:hint="eastAsia"/>
        </w:rPr>
        <w:t>さらにパルボシクリブ・フルベストラント併用療法の感受性に関与する潜在的な生物学的プロセスを追跡するため、治療と遺伝子発現の関連を連続変数における係数で分類し、</w:t>
      </w:r>
      <w:r w:rsidRPr="000E27C1">
        <w:t>Gene Set Enrichment Analysis (GSEA)</w:t>
      </w:r>
      <w:r w:rsidRPr="000E27C1">
        <w:rPr>
          <w:rFonts w:hint="eastAsia"/>
        </w:rPr>
        <w:t>を行った。</w:t>
      </w:r>
    </w:p>
    <w:p w14:paraId="2D8AAA12" w14:textId="77777777" w:rsidR="0029310A" w:rsidRPr="000E27C1" w:rsidRDefault="0029310A" w:rsidP="0029310A"/>
    <w:p w14:paraId="3BAB30A2" w14:textId="77777777" w:rsidR="001154C7" w:rsidRDefault="001154C7" w:rsidP="00C45ACD">
      <w:r>
        <w:rPr>
          <w:rFonts w:hint="eastAsia"/>
        </w:rPr>
        <w:t>【結果】</w:t>
      </w:r>
    </w:p>
    <w:p w14:paraId="31758441" w14:textId="77777777" w:rsidR="0029310A" w:rsidRDefault="0029310A" w:rsidP="0029310A">
      <w:r>
        <w:rPr>
          <w:rFonts w:hint="eastAsia"/>
        </w:rPr>
        <w:t>＜</w:t>
      </w:r>
      <w:r>
        <w:rPr>
          <w:rFonts w:hint="eastAsia"/>
        </w:rPr>
        <w:t>Gene Expression Analysis of PALOMA-3 Tumor Tissue</w:t>
      </w:r>
      <w:r>
        <w:rPr>
          <w:rFonts w:hint="eastAsia"/>
        </w:rPr>
        <w:t>＞</w:t>
      </w:r>
    </w:p>
    <w:p w14:paraId="045F7D72" w14:textId="59D95AA6" w:rsidR="0029310A" w:rsidRDefault="0029310A" w:rsidP="000E27C1">
      <w:pPr>
        <w:ind w:firstLineChars="100" w:firstLine="210"/>
      </w:pPr>
      <w:r>
        <w:rPr>
          <w:rFonts w:hint="eastAsia"/>
        </w:rPr>
        <w:t>合計</w:t>
      </w:r>
      <w:r>
        <w:rPr>
          <w:rFonts w:hint="eastAsia"/>
        </w:rPr>
        <w:t>521</w:t>
      </w:r>
      <w:r>
        <w:rPr>
          <w:rFonts w:hint="eastAsia"/>
        </w:rPr>
        <w:t>人の患者からの</w:t>
      </w:r>
      <w:r>
        <w:rPr>
          <w:rFonts w:hint="eastAsia"/>
        </w:rPr>
        <w:t>462</w:t>
      </w:r>
      <w:r>
        <w:rPr>
          <w:rFonts w:hint="eastAsia"/>
        </w:rPr>
        <w:t>個の腫瘍サンプルを</w:t>
      </w:r>
      <w:r>
        <w:rPr>
          <w:rFonts w:hint="eastAsia"/>
        </w:rPr>
        <w:t xml:space="preserve">HTG </w:t>
      </w:r>
      <w:proofErr w:type="spellStart"/>
      <w:r>
        <w:rPr>
          <w:rFonts w:hint="eastAsia"/>
        </w:rPr>
        <w:t>EdgeSeq</w:t>
      </w:r>
      <w:proofErr w:type="spellEnd"/>
      <w:r>
        <w:rPr>
          <w:rFonts w:hint="eastAsia"/>
        </w:rPr>
        <w:t xml:space="preserve"> Oncology</w:t>
      </w:r>
      <w:r>
        <w:rPr>
          <w:rFonts w:hint="eastAsia"/>
        </w:rPr>
        <w:t>パネルで解析</w:t>
      </w:r>
      <w:r w:rsidR="006E7705">
        <w:rPr>
          <w:rFonts w:hint="eastAsia"/>
        </w:rPr>
        <w:t>。</w:t>
      </w:r>
      <w:r>
        <w:rPr>
          <w:rFonts w:hint="eastAsia"/>
        </w:rPr>
        <w:t>302</w:t>
      </w:r>
      <w:r>
        <w:rPr>
          <w:rFonts w:hint="eastAsia"/>
        </w:rPr>
        <w:t>個の腫瘍サンプル（</w:t>
      </w:r>
      <w:r>
        <w:rPr>
          <w:rFonts w:hint="eastAsia"/>
        </w:rPr>
        <w:t>159</w:t>
      </w:r>
      <w:r>
        <w:rPr>
          <w:rFonts w:hint="eastAsia"/>
        </w:rPr>
        <w:t>個の原発</w:t>
      </w:r>
      <w:r w:rsidR="006E7705">
        <w:rPr>
          <w:rFonts w:hint="eastAsia"/>
        </w:rPr>
        <w:t>巣保存</w:t>
      </w:r>
      <w:r>
        <w:rPr>
          <w:rFonts w:hint="eastAsia"/>
        </w:rPr>
        <w:t>サンプル</w:t>
      </w:r>
      <w:r>
        <w:rPr>
          <w:rFonts w:hint="eastAsia"/>
        </w:rPr>
        <w:t>[53</w:t>
      </w:r>
      <w:r>
        <w:rPr>
          <w:rFonts w:hint="eastAsia"/>
        </w:rPr>
        <w:t>％</w:t>
      </w:r>
      <w:r>
        <w:rPr>
          <w:rFonts w:hint="eastAsia"/>
        </w:rPr>
        <w:t>]</w:t>
      </w:r>
      <w:r>
        <w:rPr>
          <w:rFonts w:hint="eastAsia"/>
        </w:rPr>
        <w:t>および</w:t>
      </w:r>
      <w:r>
        <w:rPr>
          <w:rFonts w:hint="eastAsia"/>
        </w:rPr>
        <w:t>142</w:t>
      </w:r>
      <w:r>
        <w:rPr>
          <w:rFonts w:hint="eastAsia"/>
        </w:rPr>
        <w:t>個の転移性</w:t>
      </w:r>
      <w:r w:rsidR="006E7705">
        <w:rPr>
          <w:rFonts w:hint="eastAsia"/>
        </w:rPr>
        <w:t>病変</w:t>
      </w:r>
      <w:r>
        <w:rPr>
          <w:rFonts w:hint="eastAsia"/>
        </w:rPr>
        <w:t>生検サンプル</w:t>
      </w:r>
      <w:r>
        <w:rPr>
          <w:rFonts w:hint="eastAsia"/>
        </w:rPr>
        <w:t>[47</w:t>
      </w:r>
      <w:r>
        <w:rPr>
          <w:rFonts w:hint="eastAsia"/>
        </w:rPr>
        <w:t>％</w:t>
      </w:r>
      <w:r>
        <w:rPr>
          <w:rFonts w:hint="eastAsia"/>
        </w:rPr>
        <w:t>]</w:t>
      </w:r>
      <w:r>
        <w:rPr>
          <w:rFonts w:hint="eastAsia"/>
        </w:rPr>
        <w:t>））が評価可能であった。評価可能なサンプルのうち、</w:t>
      </w:r>
      <w:r w:rsidR="006E7705">
        <w:rPr>
          <w:rFonts w:hint="eastAsia"/>
        </w:rPr>
        <w:t>パルボシクリブ群</w:t>
      </w:r>
      <w:r>
        <w:rPr>
          <w:rFonts w:hint="eastAsia"/>
        </w:rPr>
        <w:t>194</w:t>
      </w:r>
      <w:r>
        <w:rPr>
          <w:rFonts w:hint="eastAsia"/>
        </w:rPr>
        <w:t>（</w:t>
      </w:r>
      <w:r>
        <w:rPr>
          <w:rFonts w:hint="eastAsia"/>
        </w:rPr>
        <w:t>64</w:t>
      </w:r>
      <w:r>
        <w:rPr>
          <w:rFonts w:hint="eastAsia"/>
        </w:rPr>
        <w:t>％）</w:t>
      </w:r>
      <w:r w:rsidR="006E7705">
        <w:rPr>
          <w:rFonts w:hint="eastAsia"/>
        </w:rPr>
        <w:t>個</w:t>
      </w:r>
      <w:r>
        <w:rPr>
          <w:rFonts w:hint="eastAsia"/>
        </w:rPr>
        <w:t>（</w:t>
      </w:r>
      <w:r>
        <w:rPr>
          <w:rFonts w:hint="eastAsia"/>
        </w:rPr>
        <w:t>102</w:t>
      </w:r>
      <w:r>
        <w:rPr>
          <w:rFonts w:hint="eastAsia"/>
        </w:rPr>
        <w:t>の</w:t>
      </w:r>
      <w:r w:rsidR="006E7705">
        <w:rPr>
          <w:rFonts w:hint="eastAsia"/>
        </w:rPr>
        <w:t>原発巣保存サンプル</w:t>
      </w:r>
      <w:r>
        <w:rPr>
          <w:rFonts w:hint="eastAsia"/>
        </w:rPr>
        <w:t>および</w:t>
      </w:r>
      <w:r>
        <w:rPr>
          <w:rFonts w:hint="eastAsia"/>
        </w:rPr>
        <w:t>92</w:t>
      </w:r>
      <w:r>
        <w:rPr>
          <w:rFonts w:hint="eastAsia"/>
        </w:rPr>
        <w:t>の転移</w:t>
      </w:r>
      <w:r w:rsidR="006E7705">
        <w:rPr>
          <w:rFonts w:hint="eastAsia"/>
        </w:rPr>
        <w:t>病変</w:t>
      </w:r>
      <w:r>
        <w:rPr>
          <w:rFonts w:hint="eastAsia"/>
        </w:rPr>
        <w:t>サンプル）、</w:t>
      </w:r>
      <w:r w:rsidR="006E7705">
        <w:rPr>
          <w:rFonts w:hint="eastAsia"/>
        </w:rPr>
        <w:t>プラセボ群</w:t>
      </w:r>
      <w:r w:rsidR="006E7705">
        <w:rPr>
          <w:rFonts w:hint="eastAsia"/>
        </w:rPr>
        <w:t xml:space="preserve"> </w:t>
      </w:r>
      <w:r>
        <w:rPr>
          <w:rFonts w:hint="eastAsia"/>
        </w:rPr>
        <w:t>108</w:t>
      </w:r>
      <w:r>
        <w:rPr>
          <w:rFonts w:hint="eastAsia"/>
        </w:rPr>
        <w:t>（</w:t>
      </w:r>
      <w:r>
        <w:rPr>
          <w:rFonts w:hint="eastAsia"/>
        </w:rPr>
        <w:t>36</w:t>
      </w:r>
      <w:r>
        <w:rPr>
          <w:rFonts w:hint="eastAsia"/>
        </w:rPr>
        <w:t>％）</w:t>
      </w:r>
      <w:r w:rsidR="006E7705">
        <w:rPr>
          <w:rFonts w:hint="eastAsia"/>
        </w:rPr>
        <w:t>個</w:t>
      </w:r>
      <w:r>
        <w:rPr>
          <w:rFonts w:hint="eastAsia"/>
        </w:rPr>
        <w:t>（</w:t>
      </w:r>
      <w:r>
        <w:rPr>
          <w:rFonts w:hint="eastAsia"/>
        </w:rPr>
        <w:t>57</w:t>
      </w:r>
      <w:r>
        <w:rPr>
          <w:rFonts w:hint="eastAsia"/>
        </w:rPr>
        <w:t>の</w:t>
      </w:r>
      <w:r w:rsidR="006E7705">
        <w:rPr>
          <w:rFonts w:hint="eastAsia"/>
        </w:rPr>
        <w:t>原発巣保存サンプル</w:t>
      </w:r>
      <w:r>
        <w:rPr>
          <w:rFonts w:hint="eastAsia"/>
        </w:rPr>
        <w:t>および</w:t>
      </w:r>
      <w:r>
        <w:rPr>
          <w:rFonts w:hint="eastAsia"/>
        </w:rPr>
        <w:t>50</w:t>
      </w:r>
      <w:r>
        <w:rPr>
          <w:rFonts w:hint="eastAsia"/>
        </w:rPr>
        <w:t>の</w:t>
      </w:r>
      <w:r w:rsidR="006E7705">
        <w:rPr>
          <w:rFonts w:hint="eastAsia"/>
        </w:rPr>
        <w:t>転移病変サンプル</w:t>
      </w:r>
      <w:r>
        <w:rPr>
          <w:rFonts w:hint="eastAsia"/>
        </w:rPr>
        <w:t>）</w:t>
      </w:r>
      <w:r w:rsidR="006E7705">
        <w:rPr>
          <w:rFonts w:hint="eastAsia"/>
        </w:rPr>
        <w:t>であった</w:t>
      </w:r>
      <w:r>
        <w:rPr>
          <w:rFonts w:hint="eastAsia"/>
        </w:rPr>
        <w:t>。</w:t>
      </w:r>
      <w:r>
        <w:rPr>
          <w:rFonts w:hint="eastAsia"/>
        </w:rPr>
        <w:t>ESR1 mRNA</w:t>
      </w:r>
      <w:r>
        <w:rPr>
          <w:rFonts w:hint="eastAsia"/>
        </w:rPr>
        <w:t>およびプロゲステロン受容体（</w:t>
      </w:r>
      <w:r>
        <w:rPr>
          <w:rFonts w:hint="eastAsia"/>
        </w:rPr>
        <w:t>PR</w:t>
      </w:r>
      <w:r>
        <w:rPr>
          <w:rFonts w:hint="eastAsia"/>
        </w:rPr>
        <w:t>）</w:t>
      </w:r>
      <w:r>
        <w:rPr>
          <w:rFonts w:hint="eastAsia"/>
        </w:rPr>
        <w:t>mRNA</w:t>
      </w:r>
      <w:r>
        <w:rPr>
          <w:rFonts w:hint="eastAsia"/>
        </w:rPr>
        <w:t>の遺伝子発現は、中央評価した免疫染色での</w:t>
      </w:r>
      <w:r>
        <w:rPr>
          <w:rFonts w:hint="eastAsia"/>
        </w:rPr>
        <w:t>H</w:t>
      </w:r>
      <w:r>
        <w:rPr>
          <w:rFonts w:hint="eastAsia"/>
        </w:rPr>
        <w:t>スコアと高い相関を示した。</w:t>
      </w:r>
      <w:r w:rsidR="006E7705">
        <w:rPr>
          <w:rFonts w:hint="eastAsia"/>
        </w:rPr>
        <w:t>ER</w:t>
      </w:r>
      <w:r w:rsidR="006E7705">
        <w:rPr>
          <w:rFonts w:hint="eastAsia"/>
        </w:rPr>
        <w:t>および</w:t>
      </w:r>
      <w:proofErr w:type="spellStart"/>
      <w:r w:rsidR="006E7705">
        <w:rPr>
          <w:rFonts w:hint="eastAsia"/>
        </w:rPr>
        <w:t>PgR</w:t>
      </w:r>
      <w:proofErr w:type="spellEnd"/>
      <w:r w:rsidR="006E7705">
        <w:rPr>
          <w:rFonts w:hint="eastAsia"/>
        </w:rPr>
        <w:t xml:space="preserve"> H</w:t>
      </w:r>
      <w:r w:rsidR="006E7705">
        <w:rPr>
          <w:rFonts w:hint="eastAsia"/>
        </w:rPr>
        <w:t>スコア</w:t>
      </w:r>
      <w:r>
        <w:rPr>
          <w:rFonts w:hint="eastAsia"/>
        </w:rPr>
        <w:t>、</w:t>
      </w:r>
      <w:proofErr w:type="spellStart"/>
      <w:r>
        <w:rPr>
          <w:rFonts w:hint="eastAsia"/>
        </w:rPr>
        <w:t>EdgeSeq</w:t>
      </w:r>
      <w:proofErr w:type="spellEnd"/>
      <w:r>
        <w:rPr>
          <w:rFonts w:hint="eastAsia"/>
        </w:rPr>
        <w:t xml:space="preserve"> Oncology</w:t>
      </w:r>
      <w:r>
        <w:rPr>
          <w:rFonts w:hint="eastAsia"/>
        </w:rPr>
        <w:t>パネルの全遺伝子に</w:t>
      </w:r>
      <w:r w:rsidR="006E7705">
        <w:rPr>
          <w:rFonts w:hint="eastAsia"/>
        </w:rPr>
        <w:t>おける</w:t>
      </w:r>
      <w:r>
        <w:rPr>
          <w:rFonts w:hint="eastAsia"/>
        </w:rPr>
        <w:t>それらの転写物と最も相関していた。</w:t>
      </w:r>
    </w:p>
    <w:p w14:paraId="5E5C2AFF" w14:textId="77777777" w:rsidR="0029310A" w:rsidRDefault="006E7705" w:rsidP="006E7705">
      <w:r>
        <w:rPr>
          <w:rFonts w:hint="eastAsia"/>
        </w:rPr>
        <w:t xml:space="preserve">　</w:t>
      </w:r>
      <w:r>
        <w:rPr>
          <w:rFonts w:hint="eastAsia"/>
        </w:rPr>
        <w:t>CDK4</w:t>
      </w:r>
      <w:r>
        <w:rPr>
          <w:rFonts w:hint="eastAsia"/>
        </w:rPr>
        <w:t>、</w:t>
      </w:r>
      <w:r>
        <w:rPr>
          <w:rFonts w:hint="eastAsia"/>
        </w:rPr>
        <w:t>CDK6</w:t>
      </w:r>
      <w:r>
        <w:rPr>
          <w:rFonts w:hint="eastAsia"/>
        </w:rPr>
        <w:t>および</w:t>
      </w:r>
      <w:r>
        <w:rPr>
          <w:rFonts w:hint="eastAsia"/>
        </w:rPr>
        <w:t>CCND1 mRNA</w:t>
      </w:r>
      <w:r>
        <w:rPr>
          <w:rFonts w:hint="eastAsia"/>
        </w:rPr>
        <w:t>の発現は、</w:t>
      </w:r>
      <w:r w:rsidR="0029310A">
        <w:rPr>
          <w:rFonts w:hint="eastAsia"/>
        </w:rPr>
        <w:t>パルボシクリブの有効性を予測するものではなかった。</w:t>
      </w:r>
      <w:r w:rsidR="0029310A">
        <w:rPr>
          <w:rFonts w:hint="eastAsia"/>
        </w:rPr>
        <w:t xml:space="preserve"> </w:t>
      </w:r>
      <w:r w:rsidR="0029310A">
        <w:rPr>
          <w:rFonts w:hint="eastAsia"/>
        </w:rPr>
        <w:t>同様に、</w:t>
      </w:r>
      <w:r w:rsidR="0029310A">
        <w:rPr>
          <w:rFonts w:hint="eastAsia"/>
        </w:rPr>
        <w:t>ESR1 mRNA</w:t>
      </w:r>
      <w:r>
        <w:rPr>
          <w:rFonts w:hint="eastAsia"/>
        </w:rPr>
        <w:t>低</w:t>
      </w:r>
      <w:r w:rsidR="0029310A">
        <w:rPr>
          <w:rFonts w:hint="eastAsia"/>
        </w:rPr>
        <w:t>発現は両</w:t>
      </w:r>
      <w:r>
        <w:rPr>
          <w:rFonts w:hint="eastAsia"/>
        </w:rPr>
        <w:t>治療群で</w:t>
      </w:r>
      <w:r w:rsidR="0029310A">
        <w:rPr>
          <w:rFonts w:hint="eastAsia"/>
        </w:rPr>
        <w:t>短い</w:t>
      </w:r>
      <w:r w:rsidR="0029310A">
        <w:rPr>
          <w:rFonts w:hint="eastAsia"/>
        </w:rPr>
        <w:t>PFS</w:t>
      </w:r>
      <w:r w:rsidR="0029310A">
        <w:rPr>
          <w:rFonts w:hint="eastAsia"/>
        </w:rPr>
        <w:t>と</w:t>
      </w:r>
      <w:r>
        <w:rPr>
          <w:rFonts w:hint="eastAsia"/>
        </w:rPr>
        <w:t>相関していたが、パルボシクリブの有効性と</w:t>
      </w:r>
      <w:r w:rsidR="0029310A">
        <w:rPr>
          <w:rFonts w:hint="eastAsia"/>
        </w:rPr>
        <w:t>ESR1 mRNA</w:t>
      </w:r>
      <w:r w:rsidR="0029310A">
        <w:rPr>
          <w:rFonts w:hint="eastAsia"/>
        </w:rPr>
        <w:t>発現レベル</w:t>
      </w:r>
      <w:r>
        <w:rPr>
          <w:rFonts w:hint="eastAsia"/>
        </w:rPr>
        <w:t>には有意な相関はみられなかっ</w:t>
      </w:r>
      <w:r w:rsidR="008153B4">
        <w:rPr>
          <w:rFonts w:hint="eastAsia"/>
        </w:rPr>
        <w:t>た</w:t>
      </w:r>
      <w:r w:rsidR="0029310A">
        <w:rPr>
          <w:rFonts w:hint="eastAsia"/>
        </w:rPr>
        <w:t>。</w:t>
      </w:r>
    </w:p>
    <w:p w14:paraId="10EA5567" w14:textId="77777777" w:rsidR="0029310A" w:rsidRDefault="0029310A" w:rsidP="0029310A"/>
    <w:p w14:paraId="08DAFEF4" w14:textId="77777777" w:rsidR="0029310A" w:rsidRDefault="0029310A" w:rsidP="0029310A">
      <w:r>
        <w:rPr>
          <w:rFonts w:hint="eastAsia"/>
        </w:rPr>
        <w:t>＜</w:t>
      </w:r>
      <w:r>
        <w:rPr>
          <w:rFonts w:hint="eastAsia"/>
        </w:rPr>
        <w:t xml:space="preserve">CCNE1 mRNA Expression Is Predictive of </w:t>
      </w:r>
      <w:proofErr w:type="spellStart"/>
      <w:r w:rsidR="00E22E86" w:rsidRPr="00E22E86">
        <w:t>Palbociclib</w:t>
      </w:r>
      <w:proofErr w:type="spellEnd"/>
      <w:r>
        <w:rPr>
          <w:rFonts w:hint="eastAsia"/>
        </w:rPr>
        <w:t xml:space="preserve"> Efficacy When Assessed in Metastatic Tissues</w:t>
      </w:r>
      <w:r>
        <w:rPr>
          <w:rFonts w:hint="eastAsia"/>
        </w:rPr>
        <w:t>＞</w:t>
      </w:r>
    </w:p>
    <w:p w14:paraId="54738266" w14:textId="02776CAC" w:rsidR="0029310A" w:rsidRDefault="006E7705" w:rsidP="006E7705">
      <w:pPr>
        <w:ind w:firstLineChars="100" w:firstLine="210"/>
      </w:pPr>
      <w:r>
        <w:rPr>
          <w:rFonts w:hint="eastAsia"/>
        </w:rPr>
        <w:t>既知の</w:t>
      </w:r>
      <w:r w:rsidR="0029310A">
        <w:rPr>
          <w:rFonts w:hint="eastAsia"/>
        </w:rPr>
        <w:t>前臨床研究からのエビデンスと一致して、より低い</w:t>
      </w:r>
      <w:r w:rsidR="008153B4">
        <w:rPr>
          <w:rFonts w:hint="eastAsia"/>
        </w:rPr>
        <w:t>C</w:t>
      </w:r>
      <w:r w:rsidR="008153B4">
        <w:t>CNE1 mRNA</w:t>
      </w:r>
      <w:r w:rsidR="0029310A">
        <w:rPr>
          <w:rFonts w:hint="eastAsia"/>
        </w:rPr>
        <w:t>発現は、パルボシクリブのより良い有効性と関連していた。</w:t>
      </w:r>
      <w:r w:rsidR="0029310A">
        <w:rPr>
          <w:rFonts w:hint="eastAsia"/>
        </w:rPr>
        <w:t xml:space="preserve"> CCNE1 mRNA</w:t>
      </w:r>
      <w:r w:rsidR="008153B4">
        <w:rPr>
          <w:rFonts w:hint="eastAsia"/>
        </w:rPr>
        <w:t>発現中央値で</w:t>
      </w:r>
      <w:r w:rsidR="008153B4">
        <w:rPr>
          <w:rFonts w:hint="eastAsia"/>
        </w:rPr>
        <w:t>CCNE1</w:t>
      </w:r>
      <w:r w:rsidR="008153B4">
        <w:t xml:space="preserve"> </w:t>
      </w:r>
      <w:r w:rsidR="008153B4">
        <w:lastRenderedPageBreak/>
        <w:t>mRNA</w:t>
      </w:r>
      <w:r w:rsidR="008153B4">
        <w:rPr>
          <w:rFonts w:hint="eastAsia"/>
        </w:rPr>
        <w:t>発現レベルを高発現群および低発現群に二分すると、</w:t>
      </w:r>
      <w:r w:rsidR="0029310A">
        <w:rPr>
          <w:rFonts w:hint="eastAsia"/>
        </w:rPr>
        <w:t>CCNE1 mRNA</w:t>
      </w:r>
      <w:r w:rsidR="008153B4">
        <w:rPr>
          <w:rFonts w:hint="eastAsia"/>
        </w:rPr>
        <w:t>高発現群</w:t>
      </w:r>
      <w:r w:rsidR="0029310A">
        <w:rPr>
          <w:rFonts w:hint="eastAsia"/>
        </w:rPr>
        <w:t>の</w:t>
      </w:r>
      <w:r w:rsidR="0029310A">
        <w:rPr>
          <w:rFonts w:hint="eastAsia"/>
        </w:rPr>
        <w:t>PFS</w:t>
      </w:r>
      <w:r w:rsidR="0029310A">
        <w:rPr>
          <w:rFonts w:hint="eastAsia"/>
        </w:rPr>
        <w:t>中央値が、パルボシクリブ＋フルベストラントで</w:t>
      </w:r>
      <w:r w:rsidR="0029310A">
        <w:rPr>
          <w:rFonts w:hint="eastAsia"/>
        </w:rPr>
        <w:t>7.6</w:t>
      </w:r>
      <w:r w:rsidR="0029310A">
        <w:rPr>
          <w:rFonts w:hint="eastAsia"/>
        </w:rPr>
        <w:t>ヶ月、プラセボ＋フルベストラントで</w:t>
      </w:r>
      <w:r w:rsidR="0029310A">
        <w:rPr>
          <w:rFonts w:hint="eastAsia"/>
        </w:rPr>
        <w:t>4.0</w:t>
      </w:r>
      <w:r w:rsidR="0029310A">
        <w:rPr>
          <w:rFonts w:hint="eastAsia"/>
        </w:rPr>
        <w:t>ヶ月であ</w:t>
      </w:r>
      <w:r w:rsidR="008153B4">
        <w:rPr>
          <w:rFonts w:hint="eastAsia"/>
        </w:rPr>
        <w:t>った</w:t>
      </w:r>
      <w:r w:rsidR="0029310A">
        <w:rPr>
          <w:rFonts w:hint="eastAsia"/>
        </w:rPr>
        <w:t>（ハザード比</w:t>
      </w:r>
      <w:r w:rsidR="0029310A">
        <w:rPr>
          <w:rFonts w:hint="eastAsia"/>
        </w:rPr>
        <w:t>[HR]</w:t>
      </w:r>
      <w:r w:rsidR="0029310A">
        <w:rPr>
          <w:rFonts w:hint="eastAsia"/>
        </w:rPr>
        <w:t>、</w:t>
      </w:r>
      <w:r w:rsidR="0029310A">
        <w:rPr>
          <w:rFonts w:hint="eastAsia"/>
        </w:rPr>
        <w:t>0.85</w:t>
      </w:r>
      <w:r w:rsidR="0029310A">
        <w:rPr>
          <w:rFonts w:hint="eastAsia"/>
        </w:rPr>
        <w:t>；</w:t>
      </w:r>
      <w:r w:rsidR="0029310A">
        <w:rPr>
          <w:rFonts w:hint="eastAsia"/>
        </w:rPr>
        <w:t xml:space="preserve"> 95</w:t>
      </w:r>
      <w:r w:rsidR="0029310A">
        <w:rPr>
          <w:rFonts w:hint="eastAsia"/>
        </w:rPr>
        <w:t>％</w:t>
      </w:r>
      <w:r w:rsidR="0029310A">
        <w:rPr>
          <w:rFonts w:hint="eastAsia"/>
        </w:rPr>
        <w:t>CI</w:t>
      </w:r>
      <w:r w:rsidR="0029310A">
        <w:rPr>
          <w:rFonts w:hint="eastAsia"/>
        </w:rPr>
        <w:t>、</w:t>
      </w:r>
      <w:r w:rsidR="0029310A">
        <w:rPr>
          <w:rFonts w:hint="eastAsia"/>
        </w:rPr>
        <w:t>0.58</w:t>
      </w:r>
      <w:r w:rsidR="008153B4">
        <w:t>-</w:t>
      </w:r>
      <w:r w:rsidR="0029310A">
        <w:rPr>
          <w:rFonts w:hint="eastAsia"/>
        </w:rPr>
        <w:t>0.58</w:t>
      </w:r>
      <w:r w:rsidR="0029310A">
        <w:rPr>
          <w:rFonts w:hint="eastAsia"/>
        </w:rPr>
        <w:t>）。一方、</w:t>
      </w:r>
      <w:r w:rsidR="0029310A">
        <w:rPr>
          <w:rFonts w:hint="eastAsia"/>
        </w:rPr>
        <w:t>CCNE1 mRNA</w:t>
      </w:r>
      <w:r w:rsidR="008153B4">
        <w:rPr>
          <w:rFonts w:hint="eastAsia"/>
        </w:rPr>
        <w:t>低発現群</w:t>
      </w:r>
      <w:r w:rsidR="0029310A">
        <w:rPr>
          <w:rFonts w:hint="eastAsia"/>
        </w:rPr>
        <w:t>の</w:t>
      </w:r>
      <w:r w:rsidR="0029310A">
        <w:rPr>
          <w:rFonts w:hint="eastAsia"/>
        </w:rPr>
        <w:t>PFS</w:t>
      </w:r>
      <w:r w:rsidR="0029310A">
        <w:rPr>
          <w:rFonts w:hint="eastAsia"/>
        </w:rPr>
        <w:t>中央値は、パルボシクリブ＋フルベストラントで</w:t>
      </w:r>
      <w:r w:rsidR="0029310A">
        <w:rPr>
          <w:rFonts w:hint="eastAsia"/>
        </w:rPr>
        <w:t>14.1</w:t>
      </w:r>
      <w:r w:rsidR="0029310A">
        <w:rPr>
          <w:rFonts w:hint="eastAsia"/>
        </w:rPr>
        <w:t>ヶ月、プラセボ＋フルベストラントで</w:t>
      </w:r>
      <w:r w:rsidR="0029310A">
        <w:rPr>
          <w:rFonts w:hint="eastAsia"/>
        </w:rPr>
        <w:t>4.8</w:t>
      </w:r>
      <w:r w:rsidR="0029310A">
        <w:rPr>
          <w:rFonts w:hint="eastAsia"/>
        </w:rPr>
        <w:t>ヶ月（</w:t>
      </w:r>
      <w:r w:rsidR="0029310A">
        <w:rPr>
          <w:rFonts w:hint="eastAsia"/>
        </w:rPr>
        <w:t>HR</w:t>
      </w:r>
      <w:r w:rsidR="0029310A">
        <w:rPr>
          <w:rFonts w:hint="eastAsia"/>
        </w:rPr>
        <w:t>、</w:t>
      </w:r>
      <w:r w:rsidR="0029310A">
        <w:rPr>
          <w:rFonts w:hint="eastAsia"/>
        </w:rPr>
        <w:t>0.32</w:t>
      </w:r>
      <w:r w:rsidR="0029310A">
        <w:rPr>
          <w:rFonts w:hint="eastAsia"/>
        </w:rPr>
        <w:t>、</w:t>
      </w:r>
      <w:r w:rsidR="0029310A">
        <w:rPr>
          <w:rFonts w:hint="eastAsia"/>
        </w:rPr>
        <w:t>95</w:t>
      </w:r>
      <w:r w:rsidR="0029310A">
        <w:rPr>
          <w:rFonts w:hint="eastAsia"/>
        </w:rPr>
        <w:t>％</w:t>
      </w:r>
      <w:r w:rsidR="0029310A">
        <w:rPr>
          <w:rFonts w:hint="eastAsia"/>
        </w:rPr>
        <w:t>CI</w:t>
      </w:r>
      <w:r w:rsidR="0029310A">
        <w:rPr>
          <w:rFonts w:hint="eastAsia"/>
        </w:rPr>
        <w:t>、</w:t>
      </w:r>
      <w:r w:rsidR="0029310A">
        <w:rPr>
          <w:rFonts w:hint="eastAsia"/>
        </w:rPr>
        <w:t>0.20</w:t>
      </w:r>
      <w:r w:rsidR="008153B4">
        <w:rPr>
          <w:rFonts w:hint="eastAsia"/>
        </w:rPr>
        <w:t>-</w:t>
      </w:r>
      <w:r w:rsidR="0029310A">
        <w:rPr>
          <w:rFonts w:hint="eastAsia"/>
        </w:rPr>
        <w:t>0.50</w:t>
      </w:r>
      <w:r w:rsidR="0029310A">
        <w:rPr>
          <w:rFonts w:hint="eastAsia"/>
        </w:rPr>
        <w:t>）であ</w:t>
      </w:r>
      <w:r w:rsidR="008153B4">
        <w:rPr>
          <w:rFonts w:hint="eastAsia"/>
        </w:rPr>
        <w:t>った</w:t>
      </w:r>
      <w:r w:rsidR="0029310A">
        <w:rPr>
          <w:rFonts w:hint="eastAsia"/>
        </w:rPr>
        <w:t>。</w:t>
      </w:r>
      <w:r w:rsidR="0029310A">
        <w:rPr>
          <w:rFonts w:hint="eastAsia"/>
        </w:rPr>
        <w:t xml:space="preserve"> CCNE1 mRNA</w:t>
      </w:r>
      <w:r w:rsidR="0029310A">
        <w:rPr>
          <w:rFonts w:hint="eastAsia"/>
        </w:rPr>
        <w:t>との相互作用は、再発タイプ、腫瘍組織採取部位、ベースライン</w:t>
      </w:r>
      <w:r w:rsidR="0029310A">
        <w:rPr>
          <w:rFonts w:hint="eastAsia"/>
        </w:rPr>
        <w:t>Eastern Cooperative Oncology Group</w:t>
      </w:r>
      <w:r w:rsidR="0029310A">
        <w:rPr>
          <w:rFonts w:hint="eastAsia"/>
        </w:rPr>
        <w:t>の</w:t>
      </w:r>
      <w:r w:rsidR="00BC4AC6">
        <w:rPr>
          <w:rFonts w:hint="eastAsia"/>
        </w:rPr>
        <w:t>p</w:t>
      </w:r>
      <w:r w:rsidR="00BC4AC6">
        <w:t>erformance status</w:t>
      </w:r>
      <w:r w:rsidR="0029310A">
        <w:rPr>
          <w:rFonts w:hint="eastAsia"/>
        </w:rPr>
        <w:t>、内臓転移、以前の化学療法、アロマターゼ阻害剤</w:t>
      </w:r>
      <w:r w:rsidR="00805EAD">
        <w:rPr>
          <w:rFonts w:hint="eastAsia"/>
        </w:rPr>
        <w:t>治療歴</w:t>
      </w:r>
      <w:r w:rsidR="0029310A">
        <w:rPr>
          <w:rFonts w:hint="eastAsia"/>
        </w:rPr>
        <w:t>およびタモキシフェン療法</w:t>
      </w:r>
      <w:r w:rsidR="00805EAD">
        <w:rPr>
          <w:rFonts w:hint="eastAsia"/>
        </w:rPr>
        <w:t>治療歴</w:t>
      </w:r>
      <w:r w:rsidR="0029310A">
        <w:rPr>
          <w:rFonts w:hint="eastAsia"/>
        </w:rPr>
        <w:t>を含むベースライン</w:t>
      </w:r>
      <w:r w:rsidR="00805EAD">
        <w:rPr>
          <w:rFonts w:hint="eastAsia"/>
        </w:rPr>
        <w:t>の</w:t>
      </w:r>
      <w:r w:rsidR="0029310A">
        <w:rPr>
          <w:rFonts w:hint="eastAsia"/>
        </w:rPr>
        <w:t>臨床病理学的特徴を考慮し</w:t>
      </w:r>
      <w:r w:rsidR="00805EAD">
        <w:rPr>
          <w:rFonts w:hint="eastAsia"/>
        </w:rPr>
        <w:t>て</w:t>
      </w:r>
      <w:r w:rsidR="0029310A">
        <w:rPr>
          <w:rFonts w:hint="eastAsia"/>
        </w:rPr>
        <w:t>も有意であった</w:t>
      </w:r>
      <w:r w:rsidR="0029310A">
        <w:rPr>
          <w:rFonts w:hint="eastAsia"/>
        </w:rPr>
        <w:t>(</w:t>
      </w:r>
      <w:r w:rsidR="008153B4">
        <w:t>p</w:t>
      </w:r>
      <w:r w:rsidR="0029310A">
        <w:rPr>
          <w:rFonts w:hint="eastAsia"/>
        </w:rPr>
        <w:t>＝</w:t>
      </w:r>
      <w:r w:rsidR="0029310A">
        <w:rPr>
          <w:rFonts w:hint="eastAsia"/>
        </w:rPr>
        <w:t>0.00167</w:t>
      </w:r>
      <w:r w:rsidR="0029310A">
        <w:rPr>
          <w:rFonts w:hint="eastAsia"/>
        </w:rPr>
        <w:t>）。</w:t>
      </w:r>
    </w:p>
    <w:p w14:paraId="6E5E5FE3" w14:textId="3A90B835" w:rsidR="0029310A" w:rsidRDefault="0029310A" w:rsidP="008153B4">
      <w:pPr>
        <w:ind w:firstLineChars="100" w:firstLine="210"/>
      </w:pPr>
      <w:r>
        <w:rPr>
          <w:rFonts w:hint="eastAsia"/>
        </w:rPr>
        <w:t>CCNE1 mRNA</w:t>
      </w:r>
      <w:r>
        <w:rPr>
          <w:rFonts w:hint="eastAsia"/>
        </w:rPr>
        <w:t>発現と</w:t>
      </w:r>
      <w:r w:rsidR="00E22E86">
        <w:rPr>
          <w:rFonts w:hint="eastAsia"/>
        </w:rPr>
        <w:t>パルボシクリブ</w:t>
      </w:r>
      <w:r>
        <w:rPr>
          <w:rFonts w:hint="eastAsia"/>
        </w:rPr>
        <w:t>の有効性との関連</w:t>
      </w:r>
      <w:r w:rsidR="008153B4">
        <w:rPr>
          <w:rFonts w:hint="eastAsia"/>
        </w:rPr>
        <w:t>は、転移病変生検サンプルにおいて</w:t>
      </w:r>
      <w:r w:rsidR="00805EAD">
        <w:rPr>
          <w:rFonts w:hint="eastAsia"/>
        </w:rPr>
        <w:t>より予測能が高かったが</w:t>
      </w:r>
      <w:r>
        <w:rPr>
          <w:rFonts w:hint="eastAsia"/>
        </w:rPr>
        <w:t>（</w:t>
      </w:r>
      <w:r w:rsidR="008153B4">
        <w:rPr>
          <w:rFonts w:hint="eastAsia"/>
        </w:rPr>
        <w:t>n=142</w:t>
      </w:r>
      <w:r w:rsidR="008153B4">
        <w:t xml:space="preserve">; </w:t>
      </w:r>
      <w:r w:rsidR="008153B4">
        <w:rPr>
          <w:rFonts w:hint="eastAsia"/>
        </w:rPr>
        <w:t>相互</w:t>
      </w:r>
      <w:r>
        <w:rPr>
          <w:rFonts w:hint="eastAsia"/>
        </w:rPr>
        <w:t>作用</w:t>
      </w:r>
      <w:r w:rsidR="008153B4">
        <w:rPr>
          <w:rFonts w:hint="eastAsia"/>
        </w:rPr>
        <w:t>p</w:t>
      </w:r>
      <w:r w:rsidR="008153B4">
        <w:rPr>
          <w:rFonts w:hint="eastAsia"/>
        </w:rPr>
        <w:t>＜</w:t>
      </w:r>
      <w:r w:rsidR="008153B4">
        <w:rPr>
          <w:rFonts w:hint="eastAsia"/>
        </w:rPr>
        <w:t>0.001</w:t>
      </w:r>
      <w:r w:rsidR="008153B4">
        <w:rPr>
          <w:rFonts w:hint="eastAsia"/>
        </w:rPr>
        <w:t>）、原発巣の保存サンプル</w:t>
      </w:r>
      <w:r>
        <w:rPr>
          <w:rFonts w:hint="eastAsia"/>
        </w:rPr>
        <w:t>においてはわずかであった（</w:t>
      </w:r>
      <w:r w:rsidR="008153B4">
        <w:rPr>
          <w:rFonts w:hint="eastAsia"/>
        </w:rPr>
        <w:t>n=1</w:t>
      </w:r>
      <w:r w:rsidR="008153B4">
        <w:t xml:space="preserve">59; </w:t>
      </w:r>
      <w:r w:rsidR="008153B4">
        <w:rPr>
          <w:rFonts w:hint="eastAsia"/>
        </w:rPr>
        <w:t>相互作用</w:t>
      </w:r>
      <w:r w:rsidR="008153B4">
        <w:rPr>
          <w:rFonts w:hint="eastAsia"/>
        </w:rPr>
        <w:t>p</w:t>
      </w:r>
      <w:r w:rsidR="008153B4">
        <w:rPr>
          <w:rFonts w:hint="eastAsia"/>
        </w:rPr>
        <w:t>＜</w:t>
      </w:r>
      <w:r w:rsidR="008153B4">
        <w:rPr>
          <w:rFonts w:hint="eastAsia"/>
        </w:rPr>
        <w:t>0.0</w:t>
      </w:r>
      <w:r w:rsidR="008153B4">
        <w:t>9</w:t>
      </w:r>
      <w:r w:rsidR="008153B4">
        <w:rPr>
          <w:rFonts w:hint="eastAsia"/>
        </w:rPr>
        <w:t>）</w:t>
      </w:r>
      <w:r>
        <w:rPr>
          <w:rFonts w:hint="eastAsia"/>
        </w:rPr>
        <w:t>。</w:t>
      </w:r>
    </w:p>
    <w:p w14:paraId="359189B1" w14:textId="77777777" w:rsidR="0029310A" w:rsidRDefault="0029310A" w:rsidP="0029310A"/>
    <w:p w14:paraId="2B5C1974" w14:textId="77777777" w:rsidR="0029310A" w:rsidRDefault="0029310A" w:rsidP="0029310A">
      <w:r>
        <w:rPr>
          <w:rFonts w:hint="eastAsia"/>
        </w:rPr>
        <w:t>＜</w:t>
      </w:r>
      <w:r>
        <w:rPr>
          <w:rFonts w:hint="eastAsia"/>
        </w:rPr>
        <w:t xml:space="preserve">Intrinsic Subtypes and Efficacy of </w:t>
      </w:r>
      <w:proofErr w:type="spellStart"/>
      <w:r w:rsidR="00E22E86" w:rsidRPr="00E22E86">
        <w:t>Palbociclib</w:t>
      </w:r>
      <w:proofErr w:type="spellEnd"/>
      <w:r>
        <w:rPr>
          <w:rFonts w:hint="eastAsia"/>
        </w:rPr>
        <w:t>＞</w:t>
      </w:r>
    </w:p>
    <w:p w14:paraId="07493BEE" w14:textId="77777777" w:rsidR="0029310A" w:rsidRDefault="0029310A" w:rsidP="00805EAD">
      <w:pPr>
        <w:ind w:firstLineChars="100" w:firstLine="210"/>
      </w:pPr>
      <w:r>
        <w:rPr>
          <w:rFonts w:hint="eastAsia"/>
        </w:rPr>
        <w:t>遺伝子発現データを有する腫瘍のうち、</w:t>
      </w:r>
      <w:r>
        <w:rPr>
          <w:rFonts w:hint="eastAsia"/>
        </w:rPr>
        <w:t>133</w:t>
      </w:r>
      <w:r>
        <w:rPr>
          <w:rFonts w:hint="eastAsia"/>
        </w:rPr>
        <w:t>（</w:t>
      </w:r>
      <w:r>
        <w:rPr>
          <w:rFonts w:hint="eastAsia"/>
        </w:rPr>
        <w:t>44</w:t>
      </w:r>
      <w:r>
        <w:rPr>
          <w:rFonts w:hint="eastAsia"/>
        </w:rPr>
        <w:t>％）がルミナール</w:t>
      </w:r>
      <w:r>
        <w:rPr>
          <w:rFonts w:hint="eastAsia"/>
        </w:rPr>
        <w:t>A</w:t>
      </w:r>
      <w:r>
        <w:rPr>
          <w:rFonts w:hint="eastAsia"/>
        </w:rPr>
        <w:t>、</w:t>
      </w:r>
      <w:r>
        <w:rPr>
          <w:rFonts w:hint="eastAsia"/>
        </w:rPr>
        <w:t>93</w:t>
      </w:r>
      <w:r>
        <w:rPr>
          <w:rFonts w:hint="eastAsia"/>
        </w:rPr>
        <w:t>（</w:t>
      </w:r>
      <w:r>
        <w:rPr>
          <w:rFonts w:hint="eastAsia"/>
        </w:rPr>
        <w:t>31</w:t>
      </w:r>
      <w:r>
        <w:rPr>
          <w:rFonts w:hint="eastAsia"/>
        </w:rPr>
        <w:t>％）がルミナール</w:t>
      </w:r>
      <w:r>
        <w:rPr>
          <w:rFonts w:hint="eastAsia"/>
        </w:rPr>
        <w:t>B</w:t>
      </w:r>
      <w:r>
        <w:rPr>
          <w:rFonts w:hint="eastAsia"/>
        </w:rPr>
        <w:t>、および</w:t>
      </w:r>
      <w:r>
        <w:rPr>
          <w:rFonts w:hint="eastAsia"/>
        </w:rPr>
        <w:t>76</w:t>
      </w:r>
      <w:r>
        <w:rPr>
          <w:rFonts w:hint="eastAsia"/>
        </w:rPr>
        <w:t>（</w:t>
      </w:r>
      <w:r>
        <w:rPr>
          <w:rFonts w:hint="eastAsia"/>
        </w:rPr>
        <w:t>25</w:t>
      </w:r>
      <w:r>
        <w:rPr>
          <w:rFonts w:hint="eastAsia"/>
        </w:rPr>
        <w:t>％）が</w:t>
      </w:r>
      <w:r w:rsidR="00805EAD">
        <w:rPr>
          <w:rFonts w:hint="eastAsia"/>
        </w:rPr>
        <w:t>非</w:t>
      </w:r>
      <w:r>
        <w:rPr>
          <w:rFonts w:hint="eastAsia"/>
        </w:rPr>
        <w:t>ルミナール（</w:t>
      </w:r>
      <w:r>
        <w:rPr>
          <w:rFonts w:hint="eastAsia"/>
        </w:rPr>
        <w:t xml:space="preserve">5 </w:t>
      </w:r>
      <w:r w:rsidR="005825F1">
        <w:t>b</w:t>
      </w:r>
      <w:r>
        <w:rPr>
          <w:rFonts w:hint="eastAsia"/>
        </w:rPr>
        <w:t>asal like</w:t>
      </w:r>
      <w:r>
        <w:rPr>
          <w:rFonts w:hint="eastAsia"/>
        </w:rPr>
        <w:t>、</w:t>
      </w:r>
      <w:r>
        <w:rPr>
          <w:rFonts w:hint="eastAsia"/>
        </w:rPr>
        <w:t>63 HER2 enriched</w:t>
      </w:r>
      <w:r>
        <w:rPr>
          <w:rFonts w:hint="eastAsia"/>
        </w:rPr>
        <w:t>、</w:t>
      </w:r>
      <w:r>
        <w:rPr>
          <w:rFonts w:hint="eastAsia"/>
        </w:rPr>
        <w:t>8 normal like</w:t>
      </w:r>
      <w:r>
        <w:rPr>
          <w:rFonts w:hint="eastAsia"/>
        </w:rPr>
        <w:t>）であった。</w:t>
      </w:r>
      <w:r>
        <w:rPr>
          <w:rFonts w:hint="eastAsia"/>
        </w:rPr>
        <w:t xml:space="preserve"> </w:t>
      </w:r>
      <w:r>
        <w:rPr>
          <w:rFonts w:hint="eastAsia"/>
        </w:rPr>
        <w:t>ルミナール</w:t>
      </w:r>
      <w:r>
        <w:rPr>
          <w:rFonts w:hint="eastAsia"/>
        </w:rPr>
        <w:t>A</w:t>
      </w:r>
      <w:r>
        <w:rPr>
          <w:rFonts w:hint="eastAsia"/>
        </w:rPr>
        <w:t>腫瘍患者の</w:t>
      </w:r>
      <w:r>
        <w:rPr>
          <w:rFonts w:hint="eastAsia"/>
        </w:rPr>
        <w:t>PFS</w:t>
      </w:r>
      <w:r>
        <w:rPr>
          <w:rFonts w:hint="eastAsia"/>
        </w:rPr>
        <w:t>中央値は、パルボシクリブ</w:t>
      </w:r>
      <w:r>
        <w:rPr>
          <w:rFonts w:hint="eastAsia"/>
        </w:rPr>
        <w:t>+</w:t>
      </w:r>
      <w:r>
        <w:rPr>
          <w:rFonts w:hint="eastAsia"/>
        </w:rPr>
        <w:t>フルベストラントで</w:t>
      </w:r>
      <w:r>
        <w:rPr>
          <w:rFonts w:hint="eastAsia"/>
        </w:rPr>
        <w:t>16.6</w:t>
      </w:r>
      <w:r>
        <w:rPr>
          <w:rFonts w:hint="eastAsia"/>
        </w:rPr>
        <w:t>ヵ月、プラセボ</w:t>
      </w:r>
      <w:r>
        <w:rPr>
          <w:rFonts w:hint="eastAsia"/>
        </w:rPr>
        <w:t>+</w:t>
      </w:r>
      <w:r>
        <w:rPr>
          <w:rFonts w:hint="eastAsia"/>
        </w:rPr>
        <w:t>フルベストラントで</w:t>
      </w:r>
      <w:r>
        <w:rPr>
          <w:rFonts w:hint="eastAsia"/>
        </w:rPr>
        <w:t>4.8</w:t>
      </w:r>
      <w:r>
        <w:rPr>
          <w:rFonts w:hint="eastAsia"/>
        </w:rPr>
        <w:t>ヵ月（</w:t>
      </w:r>
      <w:r>
        <w:rPr>
          <w:rFonts w:hint="eastAsia"/>
        </w:rPr>
        <w:t>HR</w:t>
      </w:r>
      <w:r w:rsidR="00805EAD">
        <w:rPr>
          <w:rFonts w:hint="eastAsia"/>
        </w:rPr>
        <w:t xml:space="preserve"> </w:t>
      </w:r>
      <w:r>
        <w:rPr>
          <w:rFonts w:hint="eastAsia"/>
        </w:rPr>
        <w:t>0.41</w:t>
      </w:r>
      <w:r>
        <w:rPr>
          <w:rFonts w:hint="eastAsia"/>
        </w:rPr>
        <w:t>、</w:t>
      </w:r>
      <w:r>
        <w:rPr>
          <w:rFonts w:hint="eastAsia"/>
        </w:rPr>
        <w:t>95</w:t>
      </w:r>
      <w:r>
        <w:rPr>
          <w:rFonts w:hint="eastAsia"/>
        </w:rPr>
        <w:t>％</w:t>
      </w:r>
      <w:r>
        <w:rPr>
          <w:rFonts w:hint="eastAsia"/>
        </w:rPr>
        <w:t>CI</w:t>
      </w:r>
      <w:r>
        <w:rPr>
          <w:rFonts w:hint="eastAsia"/>
        </w:rPr>
        <w:t>、</w:t>
      </w:r>
      <w:r>
        <w:rPr>
          <w:rFonts w:hint="eastAsia"/>
        </w:rPr>
        <w:t>0.25</w:t>
      </w:r>
      <w:r w:rsidR="005825F1">
        <w:rPr>
          <w:rFonts w:hint="eastAsia"/>
        </w:rPr>
        <w:t>-</w:t>
      </w:r>
      <w:r>
        <w:rPr>
          <w:rFonts w:hint="eastAsia"/>
        </w:rPr>
        <w:t>0.66</w:t>
      </w:r>
      <w:r>
        <w:rPr>
          <w:rFonts w:hint="eastAsia"/>
        </w:rPr>
        <w:t>）であったのに対し、ルミナール</w:t>
      </w:r>
      <w:r>
        <w:rPr>
          <w:rFonts w:hint="eastAsia"/>
        </w:rPr>
        <w:t>B</w:t>
      </w:r>
      <w:r>
        <w:rPr>
          <w:rFonts w:hint="eastAsia"/>
        </w:rPr>
        <w:t>腫瘍の</w:t>
      </w:r>
      <w:r>
        <w:rPr>
          <w:rFonts w:hint="eastAsia"/>
        </w:rPr>
        <w:t>PFS</w:t>
      </w:r>
      <w:r>
        <w:rPr>
          <w:rFonts w:hint="eastAsia"/>
        </w:rPr>
        <w:t>中央値は</w:t>
      </w:r>
      <w:r w:rsidR="00805EAD">
        <w:rPr>
          <w:rFonts w:hint="eastAsia"/>
        </w:rPr>
        <w:t>それぞれ</w:t>
      </w:r>
      <w:r>
        <w:rPr>
          <w:rFonts w:hint="eastAsia"/>
        </w:rPr>
        <w:t>9.2</w:t>
      </w:r>
      <w:r>
        <w:rPr>
          <w:rFonts w:hint="eastAsia"/>
        </w:rPr>
        <w:t>ヵ月</w:t>
      </w:r>
      <w:r w:rsidR="00805EAD">
        <w:rPr>
          <w:rFonts w:hint="eastAsia"/>
        </w:rPr>
        <w:t>と</w:t>
      </w:r>
      <w:r w:rsidR="00805EAD">
        <w:rPr>
          <w:rFonts w:hint="eastAsia"/>
        </w:rPr>
        <w:t>3.5</w:t>
      </w:r>
      <w:r w:rsidR="00805EAD">
        <w:rPr>
          <w:rFonts w:hint="eastAsia"/>
        </w:rPr>
        <w:t>ヵ月</w:t>
      </w:r>
      <w:r>
        <w:rPr>
          <w:rFonts w:hint="eastAsia"/>
        </w:rPr>
        <w:t>であった（</w:t>
      </w:r>
      <w:r w:rsidR="00805EAD">
        <w:rPr>
          <w:rFonts w:hint="eastAsia"/>
        </w:rPr>
        <w:t>HR 0.64</w:t>
      </w:r>
      <w:r w:rsidR="00805EAD">
        <w:rPr>
          <w:rFonts w:hint="eastAsia"/>
        </w:rPr>
        <w:t>、</w:t>
      </w:r>
      <w:r w:rsidR="00805EAD">
        <w:rPr>
          <w:rFonts w:hint="eastAsia"/>
        </w:rPr>
        <w:t>95% CI 0.38-1.09</w:t>
      </w:r>
      <w:r w:rsidR="00805EAD">
        <w:rPr>
          <w:rFonts w:hint="eastAsia"/>
        </w:rPr>
        <w:t>）。</w:t>
      </w:r>
      <w:r>
        <w:rPr>
          <w:rFonts w:hint="eastAsia"/>
        </w:rPr>
        <w:t>ルミナール</w:t>
      </w:r>
      <w:r>
        <w:rPr>
          <w:rFonts w:hint="eastAsia"/>
        </w:rPr>
        <w:t>A</w:t>
      </w:r>
      <w:r>
        <w:rPr>
          <w:rFonts w:hint="eastAsia"/>
        </w:rPr>
        <w:t xml:space="preserve">　</w:t>
      </w:r>
      <w:r>
        <w:rPr>
          <w:rFonts w:hint="eastAsia"/>
        </w:rPr>
        <w:t>vs</w:t>
      </w:r>
      <w:r>
        <w:rPr>
          <w:rFonts w:hint="eastAsia"/>
        </w:rPr>
        <w:t xml:space="preserve">　ルミナール</w:t>
      </w:r>
      <w:r>
        <w:rPr>
          <w:rFonts w:hint="eastAsia"/>
        </w:rPr>
        <w:t>B</w:t>
      </w:r>
      <w:r>
        <w:rPr>
          <w:rFonts w:hint="eastAsia"/>
        </w:rPr>
        <w:t>で、パルボシクリブの治療効果との間に有意な相互作用は見られなかった（</w:t>
      </w:r>
      <w:r>
        <w:rPr>
          <w:rFonts w:hint="eastAsia"/>
        </w:rPr>
        <w:t xml:space="preserve">P = </w:t>
      </w:r>
      <w:r w:rsidR="00805EAD">
        <w:t>0</w:t>
      </w:r>
      <w:r>
        <w:rPr>
          <w:rFonts w:hint="eastAsia"/>
        </w:rPr>
        <w:t>.20</w:t>
      </w:r>
      <w:r>
        <w:rPr>
          <w:rFonts w:hint="eastAsia"/>
        </w:rPr>
        <w:t>）。</w:t>
      </w:r>
      <w:r>
        <w:rPr>
          <w:rFonts w:hint="eastAsia"/>
        </w:rPr>
        <w:t xml:space="preserve"> </w:t>
      </w:r>
      <w:r w:rsidR="00805EAD">
        <w:rPr>
          <w:rFonts w:hint="eastAsia"/>
        </w:rPr>
        <w:t>非</w:t>
      </w:r>
      <w:r>
        <w:rPr>
          <w:rFonts w:hint="eastAsia"/>
        </w:rPr>
        <w:t>ルミナールホルモン受容体陽性</w:t>
      </w:r>
      <w:r w:rsidR="00805EAD">
        <w:rPr>
          <w:rFonts w:hint="eastAsia"/>
        </w:rPr>
        <w:t>群で</w:t>
      </w:r>
      <w:r>
        <w:rPr>
          <w:rFonts w:hint="eastAsia"/>
        </w:rPr>
        <w:t>は、</w:t>
      </w:r>
      <w:r w:rsidR="00805EAD">
        <w:rPr>
          <w:rFonts w:hint="eastAsia"/>
        </w:rPr>
        <w:t>PFS</w:t>
      </w:r>
      <w:r w:rsidR="00805EAD">
        <w:rPr>
          <w:rFonts w:hint="eastAsia"/>
        </w:rPr>
        <w:t>中央値は</w:t>
      </w:r>
      <w:r>
        <w:rPr>
          <w:rFonts w:hint="eastAsia"/>
        </w:rPr>
        <w:t>パルボシクリブとフルベストラントの併用で</w:t>
      </w:r>
      <w:r>
        <w:rPr>
          <w:rFonts w:hint="eastAsia"/>
        </w:rPr>
        <w:t>9.5</w:t>
      </w:r>
      <w:r>
        <w:rPr>
          <w:rFonts w:hint="eastAsia"/>
        </w:rPr>
        <w:t>ヶ月、プラセボとフルベストラントの併用で</w:t>
      </w:r>
      <w:r>
        <w:rPr>
          <w:rFonts w:hint="eastAsia"/>
        </w:rPr>
        <w:t>5.5</w:t>
      </w:r>
      <w:r>
        <w:rPr>
          <w:rFonts w:hint="eastAsia"/>
        </w:rPr>
        <w:t>ヶ月</w:t>
      </w:r>
      <w:r w:rsidR="00805EAD">
        <w:rPr>
          <w:rFonts w:hint="eastAsia"/>
        </w:rPr>
        <w:t>で</w:t>
      </w:r>
      <w:r>
        <w:rPr>
          <w:rFonts w:hint="eastAsia"/>
        </w:rPr>
        <w:t>あった（</w:t>
      </w:r>
      <w:r>
        <w:rPr>
          <w:rFonts w:hint="eastAsia"/>
        </w:rPr>
        <w:t>HR</w:t>
      </w:r>
      <w:r w:rsidR="00805EAD">
        <w:rPr>
          <w:rFonts w:hint="eastAsia"/>
        </w:rPr>
        <w:t xml:space="preserve"> </w:t>
      </w:r>
      <w:r>
        <w:rPr>
          <w:rFonts w:hint="eastAsia"/>
        </w:rPr>
        <w:t>0.58</w:t>
      </w:r>
      <w:r>
        <w:rPr>
          <w:rFonts w:hint="eastAsia"/>
        </w:rPr>
        <w:t>、</w:t>
      </w:r>
      <w:r>
        <w:rPr>
          <w:rFonts w:hint="eastAsia"/>
        </w:rPr>
        <w:t>95</w:t>
      </w:r>
      <w:r>
        <w:rPr>
          <w:rFonts w:hint="eastAsia"/>
        </w:rPr>
        <w:t>％</w:t>
      </w:r>
      <w:r>
        <w:rPr>
          <w:rFonts w:hint="eastAsia"/>
        </w:rPr>
        <w:t>CI</w:t>
      </w:r>
      <w:r w:rsidR="00805EAD">
        <w:rPr>
          <w:rFonts w:hint="eastAsia"/>
        </w:rPr>
        <w:t xml:space="preserve"> </w:t>
      </w:r>
      <w:r>
        <w:rPr>
          <w:rFonts w:hint="eastAsia"/>
        </w:rPr>
        <w:t>0.34</w:t>
      </w:r>
      <w:r w:rsidR="00805EAD">
        <w:t>-</w:t>
      </w:r>
      <w:r>
        <w:rPr>
          <w:rFonts w:hint="eastAsia"/>
        </w:rPr>
        <w:t>0.99</w:t>
      </w:r>
      <w:r>
        <w:rPr>
          <w:rFonts w:hint="eastAsia"/>
        </w:rPr>
        <w:t>）。</w:t>
      </w:r>
    </w:p>
    <w:p w14:paraId="1F8CC333" w14:textId="77777777" w:rsidR="0029310A" w:rsidRDefault="00805EAD" w:rsidP="00805EAD">
      <w:pPr>
        <w:ind w:firstLineChars="100" w:firstLine="210"/>
      </w:pPr>
      <w:r>
        <w:rPr>
          <w:rFonts w:hint="eastAsia"/>
        </w:rPr>
        <w:t>CCNE1 mRNA</w:t>
      </w:r>
      <w:r w:rsidR="0029310A">
        <w:rPr>
          <w:rFonts w:hint="eastAsia"/>
        </w:rPr>
        <w:t>発現は、少数の</w:t>
      </w:r>
      <w:r w:rsidR="0029310A">
        <w:rPr>
          <w:rFonts w:hint="eastAsia"/>
        </w:rPr>
        <w:t>basal like</w:t>
      </w:r>
      <w:r w:rsidR="0029310A">
        <w:rPr>
          <w:rFonts w:hint="eastAsia"/>
        </w:rPr>
        <w:t>サブタイプ腫瘍において最も高く、続いて</w:t>
      </w:r>
      <w:r>
        <w:rPr>
          <w:rFonts w:hint="eastAsia"/>
        </w:rPr>
        <w:t>ルミナール</w:t>
      </w:r>
      <w:r>
        <w:rPr>
          <w:rFonts w:hint="eastAsia"/>
        </w:rPr>
        <w:t>B</w:t>
      </w:r>
      <w:r>
        <w:rPr>
          <w:rFonts w:hint="eastAsia"/>
        </w:rPr>
        <w:t>であった</w:t>
      </w:r>
      <w:r w:rsidR="0029310A">
        <w:rPr>
          <w:rFonts w:hint="eastAsia"/>
        </w:rPr>
        <w:t>（全サブタイプに</w:t>
      </w:r>
      <w:r>
        <w:rPr>
          <w:rFonts w:hint="eastAsia"/>
        </w:rPr>
        <w:t>おける</w:t>
      </w:r>
      <w:r>
        <w:rPr>
          <w:rFonts w:hint="eastAsia"/>
        </w:rPr>
        <w:t>p</w:t>
      </w:r>
      <w:r>
        <w:rPr>
          <w:rFonts w:hint="eastAsia"/>
        </w:rPr>
        <w:t>＜</w:t>
      </w:r>
      <w:r>
        <w:rPr>
          <w:rFonts w:hint="eastAsia"/>
        </w:rPr>
        <w:t>0.001</w:t>
      </w:r>
      <w:r>
        <w:rPr>
          <w:rFonts w:hint="eastAsia"/>
        </w:rPr>
        <w:t>）。</w:t>
      </w:r>
      <w:r w:rsidR="0029310A">
        <w:rPr>
          <w:rFonts w:hint="eastAsia"/>
        </w:rPr>
        <w:t>ルミナール</w:t>
      </w:r>
      <w:r w:rsidR="0029310A">
        <w:rPr>
          <w:rFonts w:hint="eastAsia"/>
        </w:rPr>
        <w:t>A</w:t>
      </w:r>
      <w:r w:rsidR="0029310A">
        <w:rPr>
          <w:rFonts w:hint="eastAsia"/>
        </w:rPr>
        <w:t>腫瘍の</w:t>
      </w:r>
      <w:r w:rsidR="0029310A">
        <w:rPr>
          <w:rFonts w:hint="eastAsia"/>
        </w:rPr>
        <w:t>CCNE1 mRNA</w:t>
      </w:r>
      <w:r w:rsidR="0029310A">
        <w:rPr>
          <w:rFonts w:hint="eastAsia"/>
        </w:rPr>
        <w:t>発現レベルは、ルミナール</w:t>
      </w:r>
      <w:r w:rsidR="0029310A">
        <w:rPr>
          <w:rFonts w:hint="eastAsia"/>
        </w:rPr>
        <w:t>B</w:t>
      </w:r>
      <w:r w:rsidR="0029310A">
        <w:rPr>
          <w:rFonts w:hint="eastAsia"/>
        </w:rPr>
        <w:t>腫瘍</w:t>
      </w:r>
      <w:r>
        <w:rPr>
          <w:rFonts w:hint="eastAsia"/>
        </w:rPr>
        <w:t>と比較し</w:t>
      </w:r>
      <w:r w:rsidR="0029310A">
        <w:rPr>
          <w:rFonts w:hint="eastAsia"/>
        </w:rPr>
        <w:t>有意に低かった（</w:t>
      </w:r>
      <w:r w:rsidR="0029310A">
        <w:rPr>
          <w:rFonts w:hint="eastAsia"/>
        </w:rPr>
        <w:t>P &lt;0.001</w:t>
      </w:r>
      <w:r w:rsidR="0029310A">
        <w:rPr>
          <w:rFonts w:hint="eastAsia"/>
        </w:rPr>
        <w:t>、マン</w:t>
      </w:r>
      <w:r>
        <w:t>-</w:t>
      </w:r>
      <w:r w:rsidR="0029310A">
        <w:rPr>
          <w:rFonts w:hint="eastAsia"/>
        </w:rPr>
        <w:t>ホイットニー</w:t>
      </w:r>
      <w:r w:rsidR="0029310A">
        <w:rPr>
          <w:rFonts w:hint="eastAsia"/>
        </w:rPr>
        <w:t>U</w:t>
      </w:r>
      <w:r w:rsidR="0029310A">
        <w:rPr>
          <w:rFonts w:hint="eastAsia"/>
        </w:rPr>
        <w:t>検定）。</w:t>
      </w:r>
      <w:r w:rsidR="0029310A">
        <w:rPr>
          <w:rFonts w:hint="eastAsia"/>
        </w:rPr>
        <w:t xml:space="preserve"> </w:t>
      </w:r>
      <w:r w:rsidR="0029310A">
        <w:rPr>
          <w:rFonts w:hint="eastAsia"/>
        </w:rPr>
        <w:t>探索的</w:t>
      </w:r>
      <w:r>
        <w:rPr>
          <w:rFonts w:hint="eastAsia"/>
        </w:rPr>
        <w:t>な</w:t>
      </w:r>
      <w:r w:rsidR="0029310A">
        <w:rPr>
          <w:rFonts w:hint="eastAsia"/>
        </w:rPr>
        <w:t>サブタイプ特異的分析では、フルボラントへのパルボシクリブの</w:t>
      </w:r>
      <w:r>
        <w:rPr>
          <w:rFonts w:hint="eastAsia"/>
        </w:rPr>
        <w:t>上乗せ</w:t>
      </w:r>
      <w:r w:rsidR="0029310A">
        <w:rPr>
          <w:rFonts w:hint="eastAsia"/>
        </w:rPr>
        <w:t>による</w:t>
      </w:r>
      <w:r w:rsidR="0029310A">
        <w:rPr>
          <w:rFonts w:hint="eastAsia"/>
        </w:rPr>
        <w:t>PFS</w:t>
      </w:r>
      <w:r w:rsidR="0029310A">
        <w:rPr>
          <w:rFonts w:hint="eastAsia"/>
        </w:rPr>
        <w:t>の改善に対する連続変数としての</w:t>
      </w:r>
      <w:r w:rsidR="0029310A">
        <w:rPr>
          <w:rFonts w:hint="eastAsia"/>
        </w:rPr>
        <w:t>CCNE1 mRNA</w:t>
      </w:r>
      <w:r w:rsidR="0029310A">
        <w:rPr>
          <w:rFonts w:hint="eastAsia"/>
        </w:rPr>
        <w:t>の効果が、ルミナール</w:t>
      </w:r>
      <w:r w:rsidR="0029310A">
        <w:rPr>
          <w:rFonts w:hint="eastAsia"/>
        </w:rPr>
        <w:t>B</w:t>
      </w:r>
      <w:r w:rsidR="0029310A">
        <w:rPr>
          <w:rFonts w:hint="eastAsia"/>
        </w:rPr>
        <w:t>およびノンルミナールサブタイプの両方で観察された（相互作用</w:t>
      </w:r>
      <w:r w:rsidR="0029310A">
        <w:rPr>
          <w:rFonts w:hint="eastAsia"/>
        </w:rPr>
        <w:t>P =</w:t>
      </w:r>
      <w:r>
        <w:t>0</w:t>
      </w:r>
      <w:r w:rsidR="0029310A">
        <w:rPr>
          <w:rFonts w:hint="eastAsia"/>
        </w:rPr>
        <w:t>.03</w:t>
      </w:r>
      <w:r w:rsidR="0029310A">
        <w:rPr>
          <w:rFonts w:hint="eastAsia"/>
        </w:rPr>
        <w:t>および</w:t>
      </w:r>
      <w:r>
        <w:rPr>
          <w:rFonts w:hint="eastAsia"/>
        </w:rPr>
        <w:t>0</w:t>
      </w:r>
      <w:r w:rsidR="0029310A">
        <w:rPr>
          <w:rFonts w:hint="eastAsia"/>
        </w:rPr>
        <w:t>.007</w:t>
      </w:r>
      <w:r w:rsidR="0029310A">
        <w:rPr>
          <w:rFonts w:hint="eastAsia"/>
        </w:rPr>
        <w:t>）が、ルミナール</w:t>
      </w:r>
      <w:r w:rsidR="0029310A">
        <w:rPr>
          <w:rFonts w:hint="eastAsia"/>
        </w:rPr>
        <w:t>A</w:t>
      </w:r>
      <w:r w:rsidR="0029310A">
        <w:rPr>
          <w:rFonts w:hint="eastAsia"/>
        </w:rPr>
        <w:t>サブタイプ（交互作用</w:t>
      </w:r>
      <w:r w:rsidR="0029310A">
        <w:rPr>
          <w:rFonts w:hint="eastAsia"/>
        </w:rPr>
        <w:t>P =</w:t>
      </w:r>
      <w:r>
        <w:t>0</w:t>
      </w:r>
      <w:r w:rsidR="0029310A">
        <w:rPr>
          <w:rFonts w:hint="eastAsia"/>
        </w:rPr>
        <w:t>.49</w:t>
      </w:r>
      <w:r w:rsidR="0029310A">
        <w:rPr>
          <w:rFonts w:hint="eastAsia"/>
        </w:rPr>
        <w:t>）ではみられなかった。</w:t>
      </w:r>
    </w:p>
    <w:p w14:paraId="762935AB" w14:textId="77777777" w:rsidR="0029310A" w:rsidRDefault="0029310A" w:rsidP="0029310A"/>
    <w:p w14:paraId="25FCDF87" w14:textId="77777777" w:rsidR="0029310A" w:rsidRDefault="0029310A" w:rsidP="0029310A">
      <w:r>
        <w:rPr>
          <w:rFonts w:hint="eastAsia"/>
        </w:rPr>
        <w:t>＜</w:t>
      </w:r>
      <w:r>
        <w:rPr>
          <w:rFonts w:hint="eastAsia"/>
        </w:rPr>
        <w:t xml:space="preserve">Discovery Analysis of Genes and Pathways Associated With Efficacy of </w:t>
      </w:r>
      <w:proofErr w:type="spellStart"/>
      <w:r w:rsidR="00E22E86" w:rsidRPr="00E22E86">
        <w:t>Palbociclib</w:t>
      </w:r>
      <w:proofErr w:type="spellEnd"/>
      <w:r>
        <w:rPr>
          <w:rFonts w:hint="eastAsia"/>
        </w:rPr>
        <w:t>＞</w:t>
      </w:r>
    </w:p>
    <w:p w14:paraId="71180200" w14:textId="77777777" w:rsidR="0029310A" w:rsidRDefault="00CA2C2C" w:rsidP="00CA2C2C">
      <w:pPr>
        <w:ind w:firstLineChars="100" w:firstLine="210"/>
      </w:pPr>
      <w:r>
        <w:rPr>
          <w:rFonts w:hint="eastAsia"/>
        </w:rPr>
        <w:t xml:space="preserve">FDR </w:t>
      </w:r>
      <w:r>
        <w:t>p</w:t>
      </w:r>
      <w:r>
        <w:rPr>
          <w:rFonts w:hint="eastAsia"/>
        </w:rPr>
        <w:t>＜</w:t>
      </w:r>
      <w:r>
        <w:rPr>
          <w:rFonts w:hint="eastAsia"/>
        </w:rPr>
        <w:t>0.1</w:t>
      </w:r>
      <w:r>
        <w:rPr>
          <w:rFonts w:hint="eastAsia"/>
        </w:rPr>
        <w:t>で多重比較検定補正を行い、</w:t>
      </w:r>
      <w:r w:rsidR="0029310A">
        <w:rPr>
          <w:rFonts w:hint="eastAsia"/>
        </w:rPr>
        <w:t>11</w:t>
      </w:r>
      <w:r w:rsidR="0029310A">
        <w:rPr>
          <w:rFonts w:hint="eastAsia"/>
        </w:rPr>
        <w:t>の相対的耐性マーカーおよび</w:t>
      </w:r>
      <w:r w:rsidR="0029310A">
        <w:rPr>
          <w:rFonts w:hint="eastAsia"/>
        </w:rPr>
        <w:t>9</w:t>
      </w:r>
      <w:r w:rsidR="0029310A">
        <w:rPr>
          <w:rFonts w:hint="eastAsia"/>
        </w:rPr>
        <w:t>つの相対的感受性マーカーを含む</w:t>
      </w:r>
      <w:r w:rsidR="0029310A">
        <w:rPr>
          <w:rFonts w:hint="eastAsia"/>
        </w:rPr>
        <w:t>20</w:t>
      </w:r>
      <w:r w:rsidR="0029310A">
        <w:rPr>
          <w:rFonts w:hint="eastAsia"/>
        </w:rPr>
        <w:t>の候補遺伝子</w:t>
      </w:r>
      <w:r>
        <w:rPr>
          <w:rFonts w:hint="eastAsia"/>
        </w:rPr>
        <w:t>を検出した結果、パルボシクリブ上乗せの有効性の低さを予測するマーカーとして、</w:t>
      </w:r>
      <w:r w:rsidR="0029310A">
        <w:rPr>
          <w:rFonts w:hint="eastAsia"/>
        </w:rPr>
        <w:t xml:space="preserve"> CCNE1 mRNA</w:t>
      </w:r>
      <w:r w:rsidR="0029310A">
        <w:rPr>
          <w:rFonts w:hint="eastAsia"/>
        </w:rPr>
        <w:t>高発現が</w:t>
      </w:r>
      <w:r w:rsidR="0029310A">
        <w:rPr>
          <w:rFonts w:hint="eastAsia"/>
        </w:rPr>
        <w:t>2</w:t>
      </w:r>
      <w:r w:rsidR="0029310A">
        <w:rPr>
          <w:rFonts w:hint="eastAsia"/>
        </w:rPr>
        <w:t>番目に重要な</w:t>
      </w:r>
      <w:r>
        <w:rPr>
          <w:rFonts w:hint="eastAsia"/>
        </w:rPr>
        <w:t>因子として</w:t>
      </w:r>
      <w:r w:rsidR="0029310A">
        <w:rPr>
          <w:rFonts w:hint="eastAsia"/>
        </w:rPr>
        <w:t>同定され</w:t>
      </w:r>
      <w:r>
        <w:rPr>
          <w:rFonts w:hint="eastAsia"/>
        </w:rPr>
        <w:t>、</w:t>
      </w:r>
      <w:r w:rsidR="0029310A">
        <w:rPr>
          <w:rFonts w:hint="eastAsia"/>
        </w:rPr>
        <w:t xml:space="preserve"> </w:t>
      </w:r>
      <w:r>
        <w:t>CCNE1 mRNA</w:t>
      </w:r>
      <w:r>
        <w:rPr>
          <w:rFonts w:hint="eastAsia"/>
        </w:rPr>
        <w:t>発現よりも重要であった遺伝子マーカーはニューロメジン</w:t>
      </w:r>
      <w:r>
        <w:rPr>
          <w:rFonts w:hint="eastAsia"/>
        </w:rPr>
        <w:t>U</w:t>
      </w:r>
      <w:r>
        <w:rPr>
          <w:rFonts w:hint="eastAsia"/>
        </w:rPr>
        <w:t>のみ</w:t>
      </w:r>
      <w:r>
        <w:rPr>
          <w:rFonts w:hint="eastAsia"/>
        </w:rPr>
        <w:lastRenderedPageBreak/>
        <w:t>であった。</w:t>
      </w:r>
    </w:p>
    <w:p w14:paraId="4111B089" w14:textId="77777777" w:rsidR="00C45ACD" w:rsidRDefault="00CA2C2C" w:rsidP="00CA2C2C">
      <w:pPr>
        <w:ind w:firstLineChars="100" w:firstLine="210"/>
      </w:pPr>
      <w:proofErr w:type="spellStart"/>
      <w:r>
        <w:rPr>
          <w:rFonts w:hint="eastAsia"/>
        </w:rPr>
        <w:t>MSigDB</w:t>
      </w:r>
      <w:proofErr w:type="spellEnd"/>
      <w:r>
        <w:rPr>
          <w:rFonts w:hint="eastAsia"/>
        </w:rPr>
        <w:t>中の</w:t>
      </w:r>
      <w:r>
        <w:rPr>
          <w:rFonts w:hint="eastAsia"/>
        </w:rPr>
        <w:t>50</w:t>
      </w:r>
      <w:r>
        <w:rPr>
          <w:rFonts w:hint="eastAsia"/>
        </w:rPr>
        <w:t>個の遺伝子セットのうち</w:t>
      </w:r>
      <w:r w:rsidR="0029310A">
        <w:rPr>
          <w:rFonts w:hint="eastAsia"/>
        </w:rPr>
        <w:t>、</w:t>
      </w:r>
      <w:r w:rsidR="0029310A">
        <w:rPr>
          <w:rFonts w:hint="eastAsia"/>
        </w:rPr>
        <w:t>E2F</w:t>
      </w:r>
      <w:r>
        <w:t xml:space="preserve"> </w:t>
      </w:r>
      <w:r>
        <w:rPr>
          <w:rFonts w:hint="eastAsia"/>
        </w:rPr>
        <w:t>t</w:t>
      </w:r>
      <w:r>
        <w:t>argets</w:t>
      </w:r>
      <w:r w:rsidR="0029310A">
        <w:rPr>
          <w:rFonts w:hint="eastAsia"/>
        </w:rPr>
        <w:t>は、パルボシクリブの</w:t>
      </w:r>
      <w:r>
        <w:rPr>
          <w:rFonts w:hint="eastAsia"/>
        </w:rPr>
        <w:t>上乗せによる</w:t>
      </w:r>
      <w:r>
        <w:rPr>
          <w:rFonts w:hint="eastAsia"/>
        </w:rPr>
        <w:t>PFS</w:t>
      </w:r>
      <w:r>
        <w:rPr>
          <w:rFonts w:hint="eastAsia"/>
        </w:rPr>
        <w:t>改善</w:t>
      </w:r>
      <w:r w:rsidR="0029310A">
        <w:rPr>
          <w:rFonts w:hint="eastAsia"/>
        </w:rPr>
        <w:t>の欠如と最も有意な関連を示した</w:t>
      </w:r>
      <w:r w:rsidRPr="00CA2C2C">
        <w:rPr>
          <w:rFonts w:hint="eastAsia"/>
        </w:rPr>
        <w:t>(normalized enrichment score -2.36; FDR P</w:t>
      </w:r>
      <w:r w:rsidRPr="00CA2C2C">
        <w:rPr>
          <w:rFonts w:hint="eastAsia"/>
        </w:rPr>
        <w:t>＜</w:t>
      </w:r>
      <w:r w:rsidRPr="00CA2C2C">
        <w:rPr>
          <w:rFonts w:hint="eastAsia"/>
        </w:rPr>
        <w:t>0.001)</w:t>
      </w:r>
      <w:r w:rsidR="0029310A">
        <w:rPr>
          <w:rFonts w:hint="eastAsia"/>
        </w:rPr>
        <w:t>。</w:t>
      </w:r>
      <w:r>
        <w:rPr>
          <w:rFonts w:hint="eastAsia"/>
        </w:rPr>
        <w:t>この結果は、フルボラントへのパルボシクリブ上乗せによる</w:t>
      </w:r>
      <w:r w:rsidR="0029310A">
        <w:rPr>
          <w:rFonts w:hint="eastAsia"/>
        </w:rPr>
        <w:t>相対的な臨床的有効性を決定する際の、</w:t>
      </w:r>
      <w:r w:rsidR="0029310A">
        <w:rPr>
          <w:rFonts w:hint="eastAsia"/>
        </w:rPr>
        <w:t>E2F</w:t>
      </w:r>
      <w:r w:rsidR="0029310A">
        <w:rPr>
          <w:rFonts w:hint="eastAsia"/>
        </w:rPr>
        <w:t>転写活性、特に</w:t>
      </w:r>
      <w:r w:rsidR="0029310A">
        <w:rPr>
          <w:rFonts w:hint="eastAsia"/>
        </w:rPr>
        <w:t>CCNE1 mRNA</w:t>
      </w:r>
      <w:r w:rsidR="0029310A">
        <w:rPr>
          <w:rFonts w:hint="eastAsia"/>
        </w:rPr>
        <w:t>の重要な役割を裏付け</w:t>
      </w:r>
      <w:r>
        <w:rPr>
          <w:rFonts w:hint="eastAsia"/>
        </w:rPr>
        <w:t>ている</w:t>
      </w:r>
      <w:r w:rsidR="0029310A">
        <w:rPr>
          <w:rFonts w:hint="eastAsia"/>
        </w:rPr>
        <w:t>。</w:t>
      </w:r>
    </w:p>
    <w:p w14:paraId="5EAE5F65" w14:textId="77777777" w:rsidR="0029310A" w:rsidRDefault="0029310A" w:rsidP="0029310A"/>
    <w:p w14:paraId="628E878C" w14:textId="77777777" w:rsidR="001154C7" w:rsidRDefault="001154C7" w:rsidP="00C45ACD">
      <w:r>
        <w:rPr>
          <w:rFonts w:hint="eastAsia"/>
        </w:rPr>
        <w:t>【考察】</w:t>
      </w:r>
    </w:p>
    <w:p w14:paraId="10F2E83E" w14:textId="77777777" w:rsidR="0029310A" w:rsidRDefault="0029310A" w:rsidP="00CA2C2C">
      <w:pPr>
        <w:ind w:firstLineChars="100" w:firstLine="210"/>
      </w:pPr>
      <w:r>
        <w:rPr>
          <w:rFonts w:hint="eastAsia"/>
        </w:rPr>
        <w:t>我々は、</w:t>
      </w:r>
      <w:r w:rsidR="00CA2C2C" w:rsidRPr="00CA2C2C">
        <w:rPr>
          <w:rFonts w:hint="eastAsia"/>
        </w:rPr>
        <w:t>PALOMA-3</w:t>
      </w:r>
      <w:r w:rsidR="00CA2C2C" w:rsidRPr="00CA2C2C">
        <w:rPr>
          <w:rFonts w:hint="eastAsia"/>
        </w:rPr>
        <w:t>試験における乳癌組織の遺伝子発現解析を行い、</w:t>
      </w:r>
      <w:r w:rsidR="00CA2C2C" w:rsidRPr="00CA2C2C">
        <w:rPr>
          <w:rFonts w:hint="eastAsia"/>
        </w:rPr>
        <w:t>CCNE1 mRNA</w:t>
      </w:r>
      <w:r w:rsidR="00CA2C2C" w:rsidRPr="00CA2C2C">
        <w:rPr>
          <w:rFonts w:hint="eastAsia"/>
        </w:rPr>
        <w:t>の低</w:t>
      </w:r>
      <w:r w:rsidR="00052CF2">
        <w:rPr>
          <w:rFonts w:hint="eastAsia"/>
        </w:rPr>
        <w:t>発現がパルボシクリブのより高い有効性と関連していることを示した</w:t>
      </w:r>
      <w:r>
        <w:rPr>
          <w:rFonts w:hint="eastAsia"/>
        </w:rPr>
        <w:t>。</w:t>
      </w:r>
    </w:p>
    <w:p w14:paraId="51C458F5" w14:textId="77777777" w:rsidR="00052CF2" w:rsidRDefault="00052CF2" w:rsidP="00052CF2">
      <w:pPr>
        <w:ind w:firstLineChars="100" w:firstLine="210"/>
      </w:pPr>
      <w:r>
        <w:rPr>
          <w:rFonts w:hint="eastAsia"/>
        </w:rPr>
        <w:t>過去の研究においても、原発巣と転移巣で遺伝子プロファイルと</w:t>
      </w:r>
      <w:r>
        <w:rPr>
          <w:rFonts w:hint="eastAsia"/>
        </w:rPr>
        <w:t>HER2</w:t>
      </w:r>
      <w:r>
        <w:rPr>
          <w:rFonts w:hint="eastAsia"/>
        </w:rPr>
        <w:t>、</w:t>
      </w:r>
      <w:r>
        <w:rPr>
          <w:rFonts w:hint="eastAsia"/>
        </w:rPr>
        <w:t>ER</w:t>
      </w:r>
      <w:r>
        <w:rPr>
          <w:rFonts w:hint="eastAsia"/>
        </w:rPr>
        <w:t>、</w:t>
      </w:r>
      <w:proofErr w:type="spellStart"/>
      <w:r>
        <w:rPr>
          <w:rFonts w:hint="eastAsia"/>
        </w:rPr>
        <w:t>PgR</w:t>
      </w:r>
      <w:proofErr w:type="spellEnd"/>
      <w:r>
        <w:rPr>
          <w:rFonts w:hint="eastAsia"/>
        </w:rPr>
        <w:t xml:space="preserve"> status</w:t>
      </w:r>
      <w:r>
        <w:rPr>
          <w:rFonts w:hint="eastAsia"/>
        </w:rPr>
        <w:t>の不一致がみられることが示されていた。</w:t>
      </w:r>
    </w:p>
    <w:p w14:paraId="74957EF3" w14:textId="77777777" w:rsidR="0029310A" w:rsidRDefault="00052CF2" w:rsidP="00052CF2">
      <w:pPr>
        <w:ind w:firstLineChars="100" w:firstLine="210"/>
      </w:pPr>
      <w:r>
        <w:rPr>
          <w:rFonts w:hint="eastAsia"/>
        </w:rPr>
        <w:t>PALOMA-3</w:t>
      </w:r>
      <w:r>
        <w:rPr>
          <w:rFonts w:hint="eastAsia"/>
        </w:rPr>
        <w:t>は、骨転移のみもしくは術後補助内分泌療法開始後</w:t>
      </w:r>
      <w:r>
        <w:rPr>
          <w:rFonts w:hint="eastAsia"/>
        </w:rPr>
        <w:t>3</w:t>
      </w:r>
      <w:r>
        <w:rPr>
          <w:rFonts w:hint="eastAsia"/>
        </w:rPr>
        <w:t>年以内での再発で初回手術でのサンプルが提供できる場合を除いて、転移巣の生検をプロトコールに定めた初めての</w:t>
      </w:r>
      <w:r>
        <w:rPr>
          <w:rFonts w:hint="eastAsia"/>
        </w:rPr>
        <w:t>phase</w:t>
      </w:r>
      <w:r>
        <w:rPr>
          <w:rFonts w:hint="eastAsia"/>
        </w:rPr>
        <w:t>Ⅲ試験のうちのひとつである。この試験の結果は、臨床試験登録時点により近い時点での組織採取が予測マーカーの同定を容易にし、</w:t>
      </w:r>
      <w:r>
        <w:rPr>
          <w:rFonts w:hint="eastAsia"/>
        </w:rPr>
        <w:t>phase</w:t>
      </w:r>
      <w:r>
        <w:rPr>
          <w:rFonts w:hint="eastAsia"/>
        </w:rPr>
        <w:t>Ⅲの進行乳癌を対象とした臨床試験の標準となり得ることを示唆している。</w:t>
      </w:r>
    </w:p>
    <w:p w14:paraId="26342937" w14:textId="77777777" w:rsidR="00052CF2" w:rsidRDefault="00052CF2" w:rsidP="00052CF2">
      <w:pPr>
        <w:ind w:firstLineChars="100" w:firstLine="210"/>
      </w:pPr>
      <w:r>
        <w:rPr>
          <w:rFonts w:hint="eastAsia"/>
        </w:rPr>
        <w:t>CCNE1 mRNA</w:t>
      </w:r>
      <w:r>
        <w:rPr>
          <w:rFonts w:hint="eastAsia"/>
        </w:rPr>
        <w:t>高発現は、乳癌および卵巣癌の細胞株モデルにおける治療抵抗性と相関しており、免疫染色によって評価された低分子量</w:t>
      </w:r>
      <w:r>
        <w:rPr>
          <w:rFonts w:hint="eastAsia"/>
        </w:rPr>
        <w:t>CCNE1</w:t>
      </w:r>
      <w:r>
        <w:rPr>
          <w:rFonts w:hint="eastAsia"/>
        </w:rPr>
        <w:t>の高発現は、日常的な臨床診療において、パルボシクリブで治療された患者のコホートを含め、不良な転帰と関連している。</w:t>
      </w:r>
      <w:r>
        <w:rPr>
          <w:rFonts w:hint="eastAsia"/>
        </w:rPr>
        <w:t xml:space="preserve">CCNE1 </w:t>
      </w:r>
      <w:r>
        <w:rPr>
          <w:rFonts w:hint="eastAsia"/>
        </w:rPr>
        <w:t>ｍ</w:t>
      </w:r>
      <w:r>
        <w:rPr>
          <w:rFonts w:hint="eastAsia"/>
        </w:rPr>
        <w:t>RNA</w:t>
      </w:r>
      <w:r>
        <w:rPr>
          <w:rFonts w:hint="eastAsia"/>
        </w:rPr>
        <w:t>と</w:t>
      </w:r>
      <w:r>
        <w:rPr>
          <w:rFonts w:hint="eastAsia"/>
        </w:rPr>
        <w:t>CCNE1</w:t>
      </w:r>
      <w:r>
        <w:rPr>
          <w:rFonts w:hint="eastAsia"/>
        </w:rPr>
        <w:t>タンパクの翻訳後修飾を評価することの重要性について、今後さらなる研究が必要である。</w:t>
      </w:r>
    </w:p>
    <w:p w14:paraId="3A1DDD0D" w14:textId="77777777" w:rsidR="0029310A" w:rsidRDefault="00052CF2" w:rsidP="00052CF2">
      <w:pPr>
        <w:ind w:firstLineChars="100" w:firstLine="210"/>
      </w:pPr>
      <w:r>
        <w:rPr>
          <w:rFonts w:hint="eastAsia"/>
        </w:rPr>
        <w:t>POP</w:t>
      </w:r>
      <w:r>
        <w:rPr>
          <w:rFonts w:hint="eastAsia"/>
        </w:rPr>
        <w:t>試験において、耐性バイオマーカーとしての</w:t>
      </w:r>
      <w:r>
        <w:rPr>
          <w:rFonts w:hint="eastAsia"/>
        </w:rPr>
        <w:t>CCNE1 mRNA</w:t>
      </w:r>
      <w:r>
        <w:rPr>
          <w:rFonts w:hint="eastAsia"/>
        </w:rPr>
        <w:t>高発現について</w:t>
      </w:r>
      <w:r>
        <w:rPr>
          <w:rFonts w:hint="eastAsia"/>
        </w:rPr>
        <w:t>Affymetrix</w:t>
      </w:r>
      <w:r>
        <w:rPr>
          <w:rFonts w:hint="eastAsia"/>
        </w:rPr>
        <w:t>アレイを用いて検証し、様々なプラットフォームにわたって</w:t>
      </w:r>
      <w:r>
        <w:rPr>
          <w:rFonts w:hint="eastAsia"/>
        </w:rPr>
        <w:t>CCNE1 mRNA</w:t>
      </w:r>
      <w:r>
        <w:rPr>
          <w:rFonts w:hint="eastAsia"/>
        </w:rPr>
        <w:t>発現が予測的であることを実証した。</w:t>
      </w:r>
      <w:r>
        <w:rPr>
          <w:rFonts w:hint="eastAsia"/>
        </w:rPr>
        <w:t>CCNE1 mRNA</w:t>
      </w:r>
      <w:r>
        <w:rPr>
          <w:rFonts w:hint="eastAsia"/>
        </w:rPr>
        <w:t>発現が早期乳癌においてホルモン療法にパルボシクリブを上乗せすることの利益と関連している可能性があることを示唆している。また、</w:t>
      </w:r>
      <w:r>
        <w:rPr>
          <w:rFonts w:hint="eastAsia"/>
        </w:rPr>
        <w:t>CCNE1 mRNA</w:t>
      </w:r>
      <w:r>
        <w:rPr>
          <w:rFonts w:hint="eastAsia"/>
        </w:rPr>
        <w:t>発現に対する内分泌療法抵抗性の影響を評価し、</w:t>
      </w:r>
      <w:r>
        <w:rPr>
          <w:rFonts w:hint="eastAsia"/>
        </w:rPr>
        <w:t>CCNE1 mRNA</w:t>
      </w:r>
      <w:r>
        <w:rPr>
          <w:rFonts w:hint="eastAsia"/>
        </w:rPr>
        <w:t>発現を</w:t>
      </w:r>
      <w:r>
        <w:rPr>
          <w:rFonts w:hint="eastAsia"/>
        </w:rPr>
        <w:t>CDK4/6</w:t>
      </w:r>
      <w:r>
        <w:rPr>
          <w:rFonts w:hint="eastAsia"/>
        </w:rPr>
        <w:t>活性化から切り離すことを可能にする生物学的プロセスを同定するために、さらなる研究が必要と考えられる。</w:t>
      </w:r>
    </w:p>
    <w:p w14:paraId="26B60CCC" w14:textId="77777777" w:rsidR="00052CF2" w:rsidRDefault="00052CF2" w:rsidP="00052CF2">
      <w:pPr>
        <w:ind w:firstLineChars="100" w:firstLine="210"/>
      </w:pPr>
      <w:r>
        <w:rPr>
          <w:rFonts w:hint="eastAsia"/>
        </w:rPr>
        <w:t>ルミナール</w:t>
      </w:r>
      <w:r>
        <w:rPr>
          <w:rFonts w:hint="eastAsia"/>
        </w:rPr>
        <w:t>A</w:t>
      </w:r>
      <w:r>
        <w:rPr>
          <w:rFonts w:hint="eastAsia"/>
        </w:rPr>
        <w:t>タイプ、</w:t>
      </w:r>
      <w:r>
        <w:rPr>
          <w:rFonts w:hint="eastAsia"/>
        </w:rPr>
        <w:t>B</w:t>
      </w:r>
      <w:r>
        <w:rPr>
          <w:rFonts w:hint="eastAsia"/>
        </w:rPr>
        <w:t>タイプいずれもフルベストラントにパルボシクリブを上乗せすることで良好な治療効果を得ることができた。非ルミナールタイプではルミナールタイプ乳癌よりも内分泌療法から得られる利益が少ない可能性があり、異なる治療反応性を持つ別サブタイプとして分類する必要がある可能性が示唆される。また、</w:t>
      </w:r>
      <w:r>
        <w:rPr>
          <w:rFonts w:hint="eastAsia"/>
        </w:rPr>
        <w:t>CDK4/6</w:t>
      </w:r>
      <w:r>
        <w:rPr>
          <w:rFonts w:hint="eastAsia"/>
        </w:rPr>
        <w:t>阻害剤併用療法が</w:t>
      </w:r>
      <w:r>
        <w:rPr>
          <w:rFonts w:hint="eastAsia"/>
        </w:rPr>
        <w:t xml:space="preserve">HER2-enriched </w:t>
      </w:r>
      <w:r>
        <w:rPr>
          <w:rFonts w:hint="eastAsia"/>
        </w:rPr>
        <w:t>非ルミナールタイプでは</w:t>
      </w:r>
      <w:r>
        <w:rPr>
          <w:rFonts w:hint="eastAsia"/>
        </w:rPr>
        <w:t>PFS</w:t>
      </w:r>
      <w:r>
        <w:rPr>
          <w:rFonts w:hint="eastAsia"/>
        </w:rPr>
        <w:t>を改善しうることが示されている。</w:t>
      </w:r>
    </w:p>
    <w:p w14:paraId="3115B61E" w14:textId="77777777" w:rsidR="00052CF2" w:rsidRPr="00052CF2" w:rsidRDefault="00052CF2" w:rsidP="00052CF2">
      <w:pPr>
        <w:ind w:firstLineChars="100" w:firstLine="210"/>
      </w:pPr>
      <w:r>
        <w:rPr>
          <w:rFonts w:hint="eastAsia"/>
        </w:rPr>
        <w:t>探索的解析において、</w:t>
      </w:r>
      <w:r>
        <w:rPr>
          <w:rFonts w:hint="eastAsia"/>
        </w:rPr>
        <w:t xml:space="preserve"> p19-CDKN2D mRNA</w:t>
      </w:r>
      <w:r>
        <w:rPr>
          <w:rFonts w:hint="eastAsia"/>
        </w:rPr>
        <w:t>ならびに</w:t>
      </w:r>
      <w:r>
        <w:rPr>
          <w:rFonts w:hint="eastAsia"/>
        </w:rPr>
        <w:t>p18-CDKN2C mRNA</w:t>
      </w:r>
      <w:r>
        <w:rPr>
          <w:rFonts w:hint="eastAsia"/>
        </w:rPr>
        <w:t>の高発現レベルとパルボシクリブの有効性の低下に関連性のある可能性が同定された。高レベルの</w:t>
      </w:r>
      <w:r>
        <w:rPr>
          <w:rFonts w:hint="eastAsia"/>
        </w:rPr>
        <w:t>CCNE1</w:t>
      </w:r>
      <w:r>
        <w:rPr>
          <w:rFonts w:hint="eastAsia"/>
        </w:rPr>
        <w:t>がパルボシクリブに対する反応の低下を予測する可能性があることを示している。</w:t>
      </w:r>
    </w:p>
    <w:p w14:paraId="28F865BB" w14:textId="77777777" w:rsidR="00052CF2" w:rsidRDefault="00052CF2" w:rsidP="00052CF2">
      <w:pPr>
        <w:ind w:firstLineChars="100" w:firstLine="210"/>
      </w:pPr>
      <w:r>
        <w:rPr>
          <w:rFonts w:hint="eastAsia"/>
        </w:rPr>
        <w:lastRenderedPageBreak/>
        <w:t>PALOMA-3</w:t>
      </w:r>
      <w:r>
        <w:rPr>
          <w:rFonts w:hint="eastAsia"/>
        </w:rPr>
        <w:t>で併用された内分泌療法はフルベストラントであり、本研究で同定されたバイオマーカーがアロマターゼ阻害剤との併用でも治療効果と関連するかは不明である。また、本解析は臨床アッセイでは実施されておらず、それらの因子を加味した追加検証なしでは実臨床での治療選択に用いることはできない。</w:t>
      </w:r>
    </w:p>
    <w:p w14:paraId="5C637FB0" w14:textId="77777777" w:rsidR="0029310A" w:rsidRDefault="00052CF2" w:rsidP="00052CF2">
      <w:pPr>
        <w:ind w:firstLineChars="100" w:firstLine="210"/>
      </w:pPr>
      <w:r>
        <w:rPr>
          <w:rFonts w:hint="eastAsia"/>
        </w:rPr>
        <w:t>CCNE1 mRNA</w:t>
      </w:r>
      <w:r>
        <w:rPr>
          <w:rFonts w:hint="eastAsia"/>
        </w:rPr>
        <w:t>高発現のサブグループにおいても、実質的には低発現の群より少ない程度ではあるが、パルボシクリブを追加することで</w:t>
      </w:r>
      <w:r>
        <w:rPr>
          <w:rFonts w:hint="eastAsia"/>
        </w:rPr>
        <w:t>PFS</w:t>
      </w:r>
      <w:r>
        <w:rPr>
          <w:rFonts w:hint="eastAsia"/>
        </w:rPr>
        <w:t>が改善する可能性があり、</w:t>
      </w:r>
      <w:r>
        <w:rPr>
          <w:rFonts w:hint="eastAsia"/>
        </w:rPr>
        <w:t>CCNE1 mRNA</w:t>
      </w:r>
      <w:r>
        <w:rPr>
          <w:rFonts w:hint="eastAsia"/>
        </w:rPr>
        <w:t>測定が個々の患者の決定に有用であるかは</w:t>
      </w:r>
      <w:r w:rsidR="0029310A">
        <w:rPr>
          <w:rFonts w:hint="eastAsia"/>
        </w:rPr>
        <w:t>不透明である。</w:t>
      </w:r>
    </w:p>
    <w:p w14:paraId="70266B16" w14:textId="77777777" w:rsidR="0029310A" w:rsidRDefault="0029310A" w:rsidP="0029310A"/>
    <w:p w14:paraId="0CE71744" w14:textId="77777777" w:rsidR="00052CF2" w:rsidRDefault="00052CF2" w:rsidP="00052CF2">
      <w:pPr>
        <w:ind w:firstLineChars="100" w:firstLine="210"/>
      </w:pPr>
      <w:r>
        <w:rPr>
          <w:rFonts w:hint="eastAsia"/>
        </w:rPr>
        <w:t>PALOMA-3</w:t>
      </w:r>
      <w:r>
        <w:rPr>
          <w:rFonts w:hint="eastAsia"/>
        </w:rPr>
        <w:t>試験のサンプルを用いた本解析において、パルボシクリブの有効性に関する予測因子を同定した。</w:t>
      </w:r>
    </w:p>
    <w:p w14:paraId="18745150" w14:textId="714ED7C8" w:rsidR="00052CF2" w:rsidRDefault="00052CF2" w:rsidP="00052CF2">
      <w:pPr>
        <w:ind w:firstLineChars="100" w:firstLine="210"/>
      </w:pPr>
      <w:r>
        <w:rPr>
          <w:rFonts w:hint="eastAsia"/>
        </w:rPr>
        <w:t>CCNE1 mRNA</w:t>
      </w:r>
      <w:r>
        <w:rPr>
          <w:rFonts w:hint="eastAsia"/>
        </w:rPr>
        <w:t>発現の予測能は保存された原発巣サンプルよりも治療開始時に採取された転移病変サンプルにおいてより明白であり、臨床研究において転移、再発病変の検体を採取することの重要性を示している。</w:t>
      </w:r>
    </w:p>
    <w:p w14:paraId="41603A16" w14:textId="77777777" w:rsidR="00052CF2" w:rsidRDefault="00052CF2" w:rsidP="00052CF2">
      <w:pPr>
        <w:ind w:firstLineChars="100" w:firstLine="210"/>
      </w:pPr>
      <w:r>
        <w:rPr>
          <w:rFonts w:hint="eastAsia"/>
        </w:rPr>
        <w:t>CDK4/6</w:t>
      </w:r>
      <w:r>
        <w:rPr>
          <w:rFonts w:hint="eastAsia"/>
        </w:rPr>
        <w:t>阻害剤のバイオマーカーとしての</w:t>
      </w:r>
      <w:r>
        <w:rPr>
          <w:rFonts w:hint="eastAsia"/>
        </w:rPr>
        <w:t>CCNE1 mRNA</w:t>
      </w:r>
      <w:r>
        <w:rPr>
          <w:rFonts w:hint="eastAsia"/>
        </w:rPr>
        <w:t>発現の役割を明らかにするためには、さらなる検証が必要である。</w:t>
      </w:r>
    </w:p>
    <w:p w14:paraId="23A13789" w14:textId="77777777" w:rsidR="0086507C" w:rsidRPr="00052CF2" w:rsidRDefault="0086507C" w:rsidP="00052CF2"/>
    <w:sectPr w:rsidR="0086507C" w:rsidRPr="00052C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2FA6"/>
    <w:multiLevelType w:val="hybridMultilevel"/>
    <w:tmpl w:val="64B86A20"/>
    <w:lvl w:ilvl="0" w:tplc="ED6AB80E">
      <w:start w:val="1"/>
      <w:numFmt w:val="bullet"/>
      <w:lvlText w:val="•"/>
      <w:lvlJc w:val="left"/>
      <w:pPr>
        <w:tabs>
          <w:tab w:val="num" w:pos="720"/>
        </w:tabs>
        <w:ind w:left="720" w:hanging="360"/>
      </w:pPr>
      <w:rPr>
        <w:rFonts w:ascii="Arial" w:hAnsi="Arial" w:hint="default"/>
      </w:rPr>
    </w:lvl>
    <w:lvl w:ilvl="1" w:tplc="7990E456" w:tentative="1">
      <w:start w:val="1"/>
      <w:numFmt w:val="bullet"/>
      <w:lvlText w:val="•"/>
      <w:lvlJc w:val="left"/>
      <w:pPr>
        <w:tabs>
          <w:tab w:val="num" w:pos="1440"/>
        </w:tabs>
        <w:ind w:left="1440" w:hanging="360"/>
      </w:pPr>
      <w:rPr>
        <w:rFonts w:ascii="Arial" w:hAnsi="Arial" w:hint="default"/>
      </w:rPr>
    </w:lvl>
    <w:lvl w:ilvl="2" w:tplc="57CA7966" w:tentative="1">
      <w:start w:val="1"/>
      <w:numFmt w:val="bullet"/>
      <w:lvlText w:val="•"/>
      <w:lvlJc w:val="left"/>
      <w:pPr>
        <w:tabs>
          <w:tab w:val="num" w:pos="2160"/>
        </w:tabs>
        <w:ind w:left="2160" w:hanging="360"/>
      </w:pPr>
      <w:rPr>
        <w:rFonts w:ascii="Arial" w:hAnsi="Arial" w:hint="default"/>
      </w:rPr>
    </w:lvl>
    <w:lvl w:ilvl="3" w:tplc="BD2CBBA2" w:tentative="1">
      <w:start w:val="1"/>
      <w:numFmt w:val="bullet"/>
      <w:lvlText w:val="•"/>
      <w:lvlJc w:val="left"/>
      <w:pPr>
        <w:tabs>
          <w:tab w:val="num" w:pos="2880"/>
        </w:tabs>
        <w:ind w:left="2880" w:hanging="360"/>
      </w:pPr>
      <w:rPr>
        <w:rFonts w:ascii="Arial" w:hAnsi="Arial" w:hint="default"/>
      </w:rPr>
    </w:lvl>
    <w:lvl w:ilvl="4" w:tplc="CF30E710" w:tentative="1">
      <w:start w:val="1"/>
      <w:numFmt w:val="bullet"/>
      <w:lvlText w:val="•"/>
      <w:lvlJc w:val="left"/>
      <w:pPr>
        <w:tabs>
          <w:tab w:val="num" w:pos="3600"/>
        </w:tabs>
        <w:ind w:left="3600" w:hanging="360"/>
      </w:pPr>
      <w:rPr>
        <w:rFonts w:ascii="Arial" w:hAnsi="Arial" w:hint="default"/>
      </w:rPr>
    </w:lvl>
    <w:lvl w:ilvl="5" w:tplc="F424A17E" w:tentative="1">
      <w:start w:val="1"/>
      <w:numFmt w:val="bullet"/>
      <w:lvlText w:val="•"/>
      <w:lvlJc w:val="left"/>
      <w:pPr>
        <w:tabs>
          <w:tab w:val="num" w:pos="4320"/>
        </w:tabs>
        <w:ind w:left="4320" w:hanging="360"/>
      </w:pPr>
      <w:rPr>
        <w:rFonts w:ascii="Arial" w:hAnsi="Arial" w:hint="default"/>
      </w:rPr>
    </w:lvl>
    <w:lvl w:ilvl="6" w:tplc="EBFE29F6" w:tentative="1">
      <w:start w:val="1"/>
      <w:numFmt w:val="bullet"/>
      <w:lvlText w:val="•"/>
      <w:lvlJc w:val="left"/>
      <w:pPr>
        <w:tabs>
          <w:tab w:val="num" w:pos="5040"/>
        </w:tabs>
        <w:ind w:left="5040" w:hanging="360"/>
      </w:pPr>
      <w:rPr>
        <w:rFonts w:ascii="Arial" w:hAnsi="Arial" w:hint="default"/>
      </w:rPr>
    </w:lvl>
    <w:lvl w:ilvl="7" w:tplc="23283192" w:tentative="1">
      <w:start w:val="1"/>
      <w:numFmt w:val="bullet"/>
      <w:lvlText w:val="•"/>
      <w:lvlJc w:val="left"/>
      <w:pPr>
        <w:tabs>
          <w:tab w:val="num" w:pos="5760"/>
        </w:tabs>
        <w:ind w:left="5760" w:hanging="360"/>
      </w:pPr>
      <w:rPr>
        <w:rFonts w:ascii="Arial" w:hAnsi="Arial" w:hint="default"/>
      </w:rPr>
    </w:lvl>
    <w:lvl w:ilvl="8" w:tplc="F3909A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8E10D9"/>
    <w:multiLevelType w:val="hybridMultilevel"/>
    <w:tmpl w:val="0BF894B4"/>
    <w:lvl w:ilvl="0" w:tplc="21BA2462">
      <w:start w:val="1"/>
      <w:numFmt w:val="bullet"/>
      <w:lvlText w:val="•"/>
      <w:lvlJc w:val="left"/>
      <w:pPr>
        <w:tabs>
          <w:tab w:val="num" w:pos="720"/>
        </w:tabs>
        <w:ind w:left="720" w:hanging="360"/>
      </w:pPr>
      <w:rPr>
        <w:rFonts w:ascii="Arial" w:hAnsi="Arial" w:hint="default"/>
      </w:rPr>
    </w:lvl>
    <w:lvl w:ilvl="1" w:tplc="18527888" w:tentative="1">
      <w:start w:val="1"/>
      <w:numFmt w:val="bullet"/>
      <w:lvlText w:val="•"/>
      <w:lvlJc w:val="left"/>
      <w:pPr>
        <w:tabs>
          <w:tab w:val="num" w:pos="1440"/>
        </w:tabs>
        <w:ind w:left="1440" w:hanging="360"/>
      </w:pPr>
      <w:rPr>
        <w:rFonts w:ascii="Arial" w:hAnsi="Arial" w:hint="default"/>
      </w:rPr>
    </w:lvl>
    <w:lvl w:ilvl="2" w:tplc="97B0B4DA" w:tentative="1">
      <w:start w:val="1"/>
      <w:numFmt w:val="bullet"/>
      <w:lvlText w:val="•"/>
      <w:lvlJc w:val="left"/>
      <w:pPr>
        <w:tabs>
          <w:tab w:val="num" w:pos="2160"/>
        </w:tabs>
        <w:ind w:left="2160" w:hanging="360"/>
      </w:pPr>
      <w:rPr>
        <w:rFonts w:ascii="Arial" w:hAnsi="Arial" w:hint="default"/>
      </w:rPr>
    </w:lvl>
    <w:lvl w:ilvl="3" w:tplc="96FA9540" w:tentative="1">
      <w:start w:val="1"/>
      <w:numFmt w:val="bullet"/>
      <w:lvlText w:val="•"/>
      <w:lvlJc w:val="left"/>
      <w:pPr>
        <w:tabs>
          <w:tab w:val="num" w:pos="2880"/>
        </w:tabs>
        <w:ind w:left="2880" w:hanging="360"/>
      </w:pPr>
      <w:rPr>
        <w:rFonts w:ascii="Arial" w:hAnsi="Arial" w:hint="default"/>
      </w:rPr>
    </w:lvl>
    <w:lvl w:ilvl="4" w:tplc="2CDE9638" w:tentative="1">
      <w:start w:val="1"/>
      <w:numFmt w:val="bullet"/>
      <w:lvlText w:val="•"/>
      <w:lvlJc w:val="left"/>
      <w:pPr>
        <w:tabs>
          <w:tab w:val="num" w:pos="3600"/>
        </w:tabs>
        <w:ind w:left="3600" w:hanging="360"/>
      </w:pPr>
      <w:rPr>
        <w:rFonts w:ascii="Arial" w:hAnsi="Arial" w:hint="default"/>
      </w:rPr>
    </w:lvl>
    <w:lvl w:ilvl="5" w:tplc="6E02CF6E" w:tentative="1">
      <w:start w:val="1"/>
      <w:numFmt w:val="bullet"/>
      <w:lvlText w:val="•"/>
      <w:lvlJc w:val="left"/>
      <w:pPr>
        <w:tabs>
          <w:tab w:val="num" w:pos="4320"/>
        </w:tabs>
        <w:ind w:left="4320" w:hanging="360"/>
      </w:pPr>
      <w:rPr>
        <w:rFonts w:ascii="Arial" w:hAnsi="Arial" w:hint="default"/>
      </w:rPr>
    </w:lvl>
    <w:lvl w:ilvl="6" w:tplc="2D1867D4" w:tentative="1">
      <w:start w:val="1"/>
      <w:numFmt w:val="bullet"/>
      <w:lvlText w:val="•"/>
      <w:lvlJc w:val="left"/>
      <w:pPr>
        <w:tabs>
          <w:tab w:val="num" w:pos="5040"/>
        </w:tabs>
        <w:ind w:left="5040" w:hanging="360"/>
      </w:pPr>
      <w:rPr>
        <w:rFonts w:ascii="Arial" w:hAnsi="Arial" w:hint="default"/>
      </w:rPr>
    </w:lvl>
    <w:lvl w:ilvl="7" w:tplc="95C4ECDE" w:tentative="1">
      <w:start w:val="1"/>
      <w:numFmt w:val="bullet"/>
      <w:lvlText w:val="•"/>
      <w:lvlJc w:val="left"/>
      <w:pPr>
        <w:tabs>
          <w:tab w:val="num" w:pos="5760"/>
        </w:tabs>
        <w:ind w:left="5760" w:hanging="360"/>
      </w:pPr>
      <w:rPr>
        <w:rFonts w:ascii="Arial" w:hAnsi="Arial" w:hint="default"/>
      </w:rPr>
    </w:lvl>
    <w:lvl w:ilvl="8" w:tplc="A34C0F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F10848"/>
    <w:multiLevelType w:val="hybridMultilevel"/>
    <w:tmpl w:val="C896AD38"/>
    <w:lvl w:ilvl="0" w:tplc="B2DE9DF2">
      <w:start w:val="1"/>
      <w:numFmt w:val="bullet"/>
      <w:lvlText w:val="•"/>
      <w:lvlJc w:val="left"/>
      <w:pPr>
        <w:tabs>
          <w:tab w:val="num" w:pos="720"/>
        </w:tabs>
        <w:ind w:left="720" w:hanging="360"/>
      </w:pPr>
      <w:rPr>
        <w:rFonts w:ascii="Arial" w:hAnsi="Arial" w:hint="default"/>
      </w:rPr>
    </w:lvl>
    <w:lvl w:ilvl="1" w:tplc="BD0CFD50" w:tentative="1">
      <w:start w:val="1"/>
      <w:numFmt w:val="bullet"/>
      <w:lvlText w:val="•"/>
      <w:lvlJc w:val="left"/>
      <w:pPr>
        <w:tabs>
          <w:tab w:val="num" w:pos="1440"/>
        </w:tabs>
        <w:ind w:left="1440" w:hanging="360"/>
      </w:pPr>
      <w:rPr>
        <w:rFonts w:ascii="Arial" w:hAnsi="Arial" w:hint="default"/>
      </w:rPr>
    </w:lvl>
    <w:lvl w:ilvl="2" w:tplc="82101E3A" w:tentative="1">
      <w:start w:val="1"/>
      <w:numFmt w:val="bullet"/>
      <w:lvlText w:val="•"/>
      <w:lvlJc w:val="left"/>
      <w:pPr>
        <w:tabs>
          <w:tab w:val="num" w:pos="2160"/>
        </w:tabs>
        <w:ind w:left="2160" w:hanging="360"/>
      </w:pPr>
      <w:rPr>
        <w:rFonts w:ascii="Arial" w:hAnsi="Arial" w:hint="default"/>
      </w:rPr>
    </w:lvl>
    <w:lvl w:ilvl="3" w:tplc="0CCEB394" w:tentative="1">
      <w:start w:val="1"/>
      <w:numFmt w:val="bullet"/>
      <w:lvlText w:val="•"/>
      <w:lvlJc w:val="left"/>
      <w:pPr>
        <w:tabs>
          <w:tab w:val="num" w:pos="2880"/>
        </w:tabs>
        <w:ind w:left="2880" w:hanging="360"/>
      </w:pPr>
      <w:rPr>
        <w:rFonts w:ascii="Arial" w:hAnsi="Arial" w:hint="default"/>
      </w:rPr>
    </w:lvl>
    <w:lvl w:ilvl="4" w:tplc="B81A5DD2" w:tentative="1">
      <w:start w:val="1"/>
      <w:numFmt w:val="bullet"/>
      <w:lvlText w:val="•"/>
      <w:lvlJc w:val="left"/>
      <w:pPr>
        <w:tabs>
          <w:tab w:val="num" w:pos="3600"/>
        </w:tabs>
        <w:ind w:left="3600" w:hanging="360"/>
      </w:pPr>
      <w:rPr>
        <w:rFonts w:ascii="Arial" w:hAnsi="Arial" w:hint="default"/>
      </w:rPr>
    </w:lvl>
    <w:lvl w:ilvl="5" w:tplc="BD004556" w:tentative="1">
      <w:start w:val="1"/>
      <w:numFmt w:val="bullet"/>
      <w:lvlText w:val="•"/>
      <w:lvlJc w:val="left"/>
      <w:pPr>
        <w:tabs>
          <w:tab w:val="num" w:pos="4320"/>
        </w:tabs>
        <w:ind w:left="4320" w:hanging="360"/>
      </w:pPr>
      <w:rPr>
        <w:rFonts w:ascii="Arial" w:hAnsi="Arial" w:hint="default"/>
      </w:rPr>
    </w:lvl>
    <w:lvl w:ilvl="6" w:tplc="42E0E2F0" w:tentative="1">
      <w:start w:val="1"/>
      <w:numFmt w:val="bullet"/>
      <w:lvlText w:val="•"/>
      <w:lvlJc w:val="left"/>
      <w:pPr>
        <w:tabs>
          <w:tab w:val="num" w:pos="5040"/>
        </w:tabs>
        <w:ind w:left="5040" w:hanging="360"/>
      </w:pPr>
      <w:rPr>
        <w:rFonts w:ascii="Arial" w:hAnsi="Arial" w:hint="default"/>
      </w:rPr>
    </w:lvl>
    <w:lvl w:ilvl="7" w:tplc="C2C8ED8E" w:tentative="1">
      <w:start w:val="1"/>
      <w:numFmt w:val="bullet"/>
      <w:lvlText w:val="•"/>
      <w:lvlJc w:val="left"/>
      <w:pPr>
        <w:tabs>
          <w:tab w:val="num" w:pos="5760"/>
        </w:tabs>
        <w:ind w:left="5760" w:hanging="360"/>
      </w:pPr>
      <w:rPr>
        <w:rFonts w:ascii="Arial" w:hAnsi="Arial" w:hint="default"/>
      </w:rPr>
    </w:lvl>
    <w:lvl w:ilvl="8" w:tplc="00C6EA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B02D47"/>
    <w:multiLevelType w:val="hybridMultilevel"/>
    <w:tmpl w:val="8E5CD1CE"/>
    <w:lvl w:ilvl="0" w:tplc="503A230A">
      <w:start w:val="1"/>
      <w:numFmt w:val="bullet"/>
      <w:lvlText w:val="•"/>
      <w:lvlJc w:val="left"/>
      <w:pPr>
        <w:tabs>
          <w:tab w:val="num" w:pos="720"/>
        </w:tabs>
        <w:ind w:left="720" w:hanging="360"/>
      </w:pPr>
      <w:rPr>
        <w:rFonts w:ascii="Arial" w:hAnsi="Arial" w:hint="default"/>
      </w:rPr>
    </w:lvl>
    <w:lvl w:ilvl="1" w:tplc="971232A0" w:tentative="1">
      <w:start w:val="1"/>
      <w:numFmt w:val="bullet"/>
      <w:lvlText w:val="•"/>
      <w:lvlJc w:val="left"/>
      <w:pPr>
        <w:tabs>
          <w:tab w:val="num" w:pos="1440"/>
        </w:tabs>
        <w:ind w:left="1440" w:hanging="360"/>
      </w:pPr>
      <w:rPr>
        <w:rFonts w:ascii="Arial" w:hAnsi="Arial" w:hint="default"/>
      </w:rPr>
    </w:lvl>
    <w:lvl w:ilvl="2" w:tplc="9954979C" w:tentative="1">
      <w:start w:val="1"/>
      <w:numFmt w:val="bullet"/>
      <w:lvlText w:val="•"/>
      <w:lvlJc w:val="left"/>
      <w:pPr>
        <w:tabs>
          <w:tab w:val="num" w:pos="2160"/>
        </w:tabs>
        <w:ind w:left="2160" w:hanging="360"/>
      </w:pPr>
      <w:rPr>
        <w:rFonts w:ascii="Arial" w:hAnsi="Arial" w:hint="default"/>
      </w:rPr>
    </w:lvl>
    <w:lvl w:ilvl="3" w:tplc="CAB04572" w:tentative="1">
      <w:start w:val="1"/>
      <w:numFmt w:val="bullet"/>
      <w:lvlText w:val="•"/>
      <w:lvlJc w:val="left"/>
      <w:pPr>
        <w:tabs>
          <w:tab w:val="num" w:pos="2880"/>
        </w:tabs>
        <w:ind w:left="2880" w:hanging="360"/>
      </w:pPr>
      <w:rPr>
        <w:rFonts w:ascii="Arial" w:hAnsi="Arial" w:hint="default"/>
      </w:rPr>
    </w:lvl>
    <w:lvl w:ilvl="4" w:tplc="91BE95F4" w:tentative="1">
      <w:start w:val="1"/>
      <w:numFmt w:val="bullet"/>
      <w:lvlText w:val="•"/>
      <w:lvlJc w:val="left"/>
      <w:pPr>
        <w:tabs>
          <w:tab w:val="num" w:pos="3600"/>
        </w:tabs>
        <w:ind w:left="3600" w:hanging="360"/>
      </w:pPr>
      <w:rPr>
        <w:rFonts w:ascii="Arial" w:hAnsi="Arial" w:hint="default"/>
      </w:rPr>
    </w:lvl>
    <w:lvl w:ilvl="5" w:tplc="462A360C" w:tentative="1">
      <w:start w:val="1"/>
      <w:numFmt w:val="bullet"/>
      <w:lvlText w:val="•"/>
      <w:lvlJc w:val="left"/>
      <w:pPr>
        <w:tabs>
          <w:tab w:val="num" w:pos="4320"/>
        </w:tabs>
        <w:ind w:left="4320" w:hanging="360"/>
      </w:pPr>
      <w:rPr>
        <w:rFonts w:ascii="Arial" w:hAnsi="Arial" w:hint="default"/>
      </w:rPr>
    </w:lvl>
    <w:lvl w:ilvl="6" w:tplc="C8388878" w:tentative="1">
      <w:start w:val="1"/>
      <w:numFmt w:val="bullet"/>
      <w:lvlText w:val="•"/>
      <w:lvlJc w:val="left"/>
      <w:pPr>
        <w:tabs>
          <w:tab w:val="num" w:pos="5040"/>
        </w:tabs>
        <w:ind w:left="5040" w:hanging="360"/>
      </w:pPr>
      <w:rPr>
        <w:rFonts w:ascii="Arial" w:hAnsi="Arial" w:hint="default"/>
      </w:rPr>
    </w:lvl>
    <w:lvl w:ilvl="7" w:tplc="EBF6DF1A" w:tentative="1">
      <w:start w:val="1"/>
      <w:numFmt w:val="bullet"/>
      <w:lvlText w:val="•"/>
      <w:lvlJc w:val="left"/>
      <w:pPr>
        <w:tabs>
          <w:tab w:val="num" w:pos="5760"/>
        </w:tabs>
        <w:ind w:left="5760" w:hanging="360"/>
      </w:pPr>
      <w:rPr>
        <w:rFonts w:ascii="Arial" w:hAnsi="Arial" w:hint="default"/>
      </w:rPr>
    </w:lvl>
    <w:lvl w:ilvl="8" w:tplc="A9A816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7B"/>
    <w:rsid w:val="00045EA4"/>
    <w:rsid w:val="00052CF2"/>
    <w:rsid w:val="00073FE7"/>
    <w:rsid w:val="000E27C1"/>
    <w:rsid w:val="001154C7"/>
    <w:rsid w:val="00150D2E"/>
    <w:rsid w:val="0029310A"/>
    <w:rsid w:val="002C3D53"/>
    <w:rsid w:val="0034150C"/>
    <w:rsid w:val="003667F9"/>
    <w:rsid w:val="00393B77"/>
    <w:rsid w:val="0045313C"/>
    <w:rsid w:val="00483BC2"/>
    <w:rsid w:val="005562FA"/>
    <w:rsid w:val="005825F1"/>
    <w:rsid w:val="005D0E27"/>
    <w:rsid w:val="006E747B"/>
    <w:rsid w:val="006E7705"/>
    <w:rsid w:val="007072BB"/>
    <w:rsid w:val="00767395"/>
    <w:rsid w:val="00805EAD"/>
    <w:rsid w:val="008153B4"/>
    <w:rsid w:val="0082224C"/>
    <w:rsid w:val="0086507C"/>
    <w:rsid w:val="008B3BD3"/>
    <w:rsid w:val="0090156E"/>
    <w:rsid w:val="00935229"/>
    <w:rsid w:val="00962BF7"/>
    <w:rsid w:val="00965D15"/>
    <w:rsid w:val="009F14DE"/>
    <w:rsid w:val="00A45A85"/>
    <w:rsid w:val="00A6332C"/>
    <w:rsid w:val="00AE09C7"/>
    <w:rsid w:val="00AE6A02"/>
    <w:rsid w:val="00B721C8"/>
    <w:rsid w:val="00BC4AC6"/>
    <w:rsid w:val="00C45ACD"/>
    <w:rsid w:val="00C67780"/>
    <w:rsid w:val="00CA2C2C"/>
    <w:rsid w:val="00CC7114"/>
    <w:rsid w:val="00D361A7"/>
    <w:rsid w:val="00DC6C91"/>
    <w:rsid w:val="00E22E86"/>
    <w:rsid w:val="00FF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72FC8C"/>
  <w15:chartTrackingRefBased/>
  <w15:docId w15:val="{D75382FF-7C86-4C29-B41B-7ABA3A8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224C"/>
    <w:rPr>
      <w:color w:val="0563C1" w:themeColor="hyperlink"/>
      <w:u w:val="single"/>
    </w:rPr>
  </w:style>
  <w:style w:type="paragraph" w:styleId="a4">
    <w:name w:val="List Paragraph"/>
    <w:basedOn w:val="a"/>
    <w:uiPriority w:val="34"/>
    <w:qFormat/>
    <w:rsid w:val="000E27C1"/>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166">
      <w:bodyDiv w:val="1"/>
      <w:marLeft w:val="0"/>
      <w:marRight w:val="0"/>
      <w:marTop w:val="0"/>
      <w:marBottom w:val="0"/>
      <w:divBdr>
        <w:top w:val="none" w:sz="0" w:space="0" w:color="auto"/>
        <w:left w:val="none" w:sz="0" w:space="0" w:color="auto"/>
        <w:bottom w:val="none" w:sz="0" w:space="0" w:color="auto"/>
        <w:right w:val="none" w:sz="0" w:space="0" w:color="auto"/>
      </w:divBdr>
    </w:div>
    <w:div w:id="31275561">
      <w:bodyDiv w:val="1"/>
      <w:marLeft w:val="0"/>
      <w:marRight w:val="0"/>
      <w:marTop w:val="0"/>
      <w:marBottom w:val="0"/>
      <w:divBdr>
        <w:top w:val="none" w:sz="0" w:space="0" w:color="auto"/>
        <w:left w:val="none" w:sz="0" w:space="0" w:color="auto"/>
        <w:bottom w:val="none" w:sz="0" w:space="0" w:color="auto"/>
        <w:right w:val="none" w:sz="0" w:space="0" w:color="auto"/>
      </w:divBdr>
    </w:div>
    <w:div w:id="74134397">
      <w:bodyDiv w:val="1"/>
      <w:marLeft w:val="0"/>
      <w:marRight w:val="0"/>
      <w:marTop w:val="0"/>
      <w:marBottom w:val="0"/>
      <w:divBdr>
        <w:top w:val="none" w:sz="0" w:space="0" w:color="auto"/>
        <w:left w:val="none" w:sz="0" w:space="0" w:color="auto"/>
        <w:bottom w:val="none" w:sz="0" w:space="0" w:color="auto"/>
        <w:right w:val="none" w:sz="0" w:space="0" w:color="auto"/>
      </w:divBdr>
      <w:divsChild>
        <w:div w:id="920065382">
          <w:marLeft w:val="360"/>
          <w:marRight w:val="0"/>
          <w:marTop w:val="200"/>
          <w:marBottom w:val="0"/>
          <w:divBdr>
            <w:top w:val="none" w:sz="0" w:space="0" w:color="auto"/>
            <w:left w:val="none" w:sz="0" w:space="0" w:color="auto"/>
            <w:bottom w:val="none" w:sz="0" w:space="0" w:color="auto"/>
            <w:right w:val="none" w:sz="0" w:space="0" w:color="auto"/>
          </w:divBdr>
        </w:div>
        <w:div w:id="1306423777">
          <w:marLeft w:val="360"/>
          <w:marRight w:val="0"/>
          <w:marTop w:val="200"/>
          <w:marBottom w:val="0"/>
          <w:divBdr>
            <w:top w:val="none" w:sz="0" w:space="0" w:color="auto"/>
            <w:left w:val="none" w:sz="0" w:space="0" w:color="auto"/>
            <w:bottom w:val="none" w:sz="0" w:space="0" w:color="auto"/>
            <w:right w:val="none" w:sz="0" w:space="0" w:color="auto"/>
          </w:divBdr>
        </w:div>
        <w:div w:id="1148208335">
          <w:marLeft w:val="360"/>
          <w:marRight w:val="0"/>
          <w:marTop w:val="200"/>
          <w:marBottom w:val="0"/>
          <w:divBdr>
            <w:top w:val="none" w:sz="0" w:space="0" w:color="auto"/>
            <w:left w:val="none" w:sz="0" w:space="0" w:color="auto"/>
            <w:bottom w:val="none" w:sz="0" w:space="0" w:color="auto"/>
            <w:right w:val="none" w:sz="0" w:space="0" w:color="auto"/>
          </w:divBdr>
        </w:div>
        <w:div w:id="1242639850">
          <w:marLeft w:val="360"/>
          <w:marRight w:val="0"/>
          <w:marTop w:val="200"/>
          <w:marBottom w:val="0"/>
          <w:divBdr>
            <w:top w:val="none" w:sz="0" w:space="0" w:color="auto"/>
            <w:left w:val="none" w:sz="0" w:space="0" w:color="auto"/>
            <w:bottom w:val="none" w:sz="0" w:space="0" w:color="auto"/>
            <w:right w:val="none" w:sz="0" w:space="0" w:color="auto"/>
          </w:divBdr>
        </w:div>
      </w:divsChild>
    </w:div>
    <w:div w:id="79375296">
      <w:bodyDiv w:val="1"/>
      <w:marLeft w:val="0"/>
      <w:marRight w:val="0"/>
      <w:marTop w:val="0"/>
      <w:marBottom w:val="0"/>
      <w:divBdr>
        <w:top w:val="none" w:sz="0" w:space="0" w:color="auto"/>
        <w:left w:val="none" w:sz="0" w:space="0" w:color="auto"/>
        <w:bottom w:val="none" w:sz="0" w:space="0" w:color="auto"/>
        <w:right w:val="none" w:sz="0" w:space="0" w:color="auto"/>
      </w:divBdr>
    </w:div>
    <w:div w:id="164244251">
      <w:bodyDiv w:val="1"/>
      <w:marLeft w:val="0"/>
      <w:marRight w:val="0"/>
      <w:marTop w:val="0"/>
      <w:marBottom w:val="0"/>
      <w:divBdr>
        <w:top w:val="none" w:sz="0" w:space="0" w:color="auto"/>
        <w:left w:val="none" w:sz="0" w:space="0" w:color="auto"/>
        <w:bottom w:val="none" w:sz="0" w:space="0" w:color="auto"/>
        <w:right w:val="none" w:sz="0" w:space="0" w:color="auto"/>
      </w:divBdr>
    </w:div>
    <w:div w:id="365326464">
      <w:bodyDiv w:val="1"/>
      <w:marLeft w:val="0"/>
      <w:marRight w:val="0"/>
      <w:marTop w:val="0"/>
      <w:marBottom w:val="0"/>
      <w:divBdr>
        <w:top w:val="none" w:sz="0" w:space="0" w:color="auto"/>
        <w:left w:val="none" w:sz="0" w:space="0" w:color="auto"/>
        <w:bottom w:val="none" w:sz="0" w:space="0" w:color="auto"/>
        <w:right w:val="none" w:sz="0" w:space="0" w:color="auto"/>
      </w:divBdr>
    </w:div>
    <w:div w:id="407968876">
      <w:bodyDiv w:val="1"/>
      <w:marLeft w:val="0"/>
      <w:marRight w:val="0"/>
      <w:marTop w:val="0"/>
      <w:marBottom w:val="0"/>
      <w:divBdr>
        <w:top w:val="none" w:sz="0" w:space="0" w:color="auto"/>
        <w:left w:val="none" w:sz="0" w:space="0" w:color="auto"/>
        <w:bottom w:val="none" w:sz="0" w:space="0" w:color="auto"/>
        <w:right w:val="none" w:sz="0" w:space="0" w:color="auto"/>
      </w:divBdr>
    </w:div>
    <w:div w:id="708996841">
      <w:bodyDiv w:val="1"/>
      <w:marLeft w:val="0"/>
      <w:marRight w:val="0"/>
      <w:marTop w:val="0"/>
      <w:marBottom w:val="0"/>
      <w:divBdr>
        <w:top w:val="none" w:sz="0" w:space="0" w:color="auto"/>
        <w:left w:val="none" w:sz="0" w:space="0" w:color="auto"/>
        <w:bottom w:val="none" w:sz="0" w:space="0" w:color="auto"/>
        <w:right w:val="none" w:sz="0" w:space="0" w:color="auto"/>
      </w:divBdr>
      <w:divsChild>
        <w:div w:id="112485930">
          <w:marLeft w:val="360"/>
          <w:marRight w:val="0"/>
          <w:marTop w:val="200"/>
          <w:marBottom w:val="0"/>
          <w:divBdr>
            <w:top w:val="none" w:sz="0" w:space="0" w:color="auto"/>
            <w:left w:val="none" w:sz="0" w:space="0" w:color="auto"/>
            <w:bottom w:val="none" w:sz="0" w:space="0" w:color="auto"/>
            <w:right w:val="none" w:sz="0" w:space="0" w:color="auto"/>
          </w:divBdr>
        </w:div>
        <w:div w:id="1913928723">
          <w:marLeft w:val="360"/>
          <w:marRight w:val="0"/>
          <w:marTop w:val="200"/>
          <w:marBottom w:val="0"/>
          <w:divBdr>
            <w:top w:val="none" w:sz="0" w:space="0" w:color="auto"/>
            <w:left w:val="none" w:sz="0" w:space="0" w:color="auto"/>
            <w:bottom w:val="none" w:sz="0" w:space="0" w:color="auto"/>
            <w:right w:val="none" w:sz="0" w:space="0" w:color="auto"/>
          </w:divBdr>
        </w:div>
        <w:div w:id="685718743">
          <w:marLeft w:val="360"/>
          <w:marRight w:val="0"/>
          <w:marTop w:val="200"/>
          <w:marBottom w:val="0"/>
          <w:divBdr>
            <w:top w:val="none" w:sz="0" w:space="0" w:color="auto"/>
            <w:left w:val="none" w:sz="0" w:space="0" w:color="auto"/>
            <w:bottom w:val="none" w:sz="0" w:space="0" w:color="auto"/>
            <w:right w:val="none" w:sz="0" w:space="0" w:color="auto"/>
          </w:divBdr>
        </w:div>
        <w:div w:id="1715422180">
          <w:marLeft w:val="360"/>
          <w:marRight w:val="0"/>
          <w:marTop w:val="200"/>
          <w:marBottom w:val="0"/>
          <w:divBdr>
            <w:top w:val="none" w:sz="0" w:space="0" w:color="auto"/>
            <w:left w:val="none" w:sz="0" w:space="0" w:color="auto"/>
            <w:bottom w:val="none" w:sz="0" w:space="0" w:color="auto"/>
            <w:right w:val="none" w:sz="0" w:space="0" w:color="auto"/>
          </w:divBdr>
        </w:div>
      </w:divsChild>
    </w:div>
    <w:div w:id="1273440927">
      <w:bodyDiv w:val="1"/>
      <w:marLeft w:val="0"/>
      <w:marRight w:val="0"/>
      <w:marTop w:val="0"/>
      <w:marBottom w:val="0"/>
      <w:divBdr>
        <w:top w:val="none" w:sz="0" w:space="0" w:color="auto"/>
        <w:left w:val="none" w:sz="0" w:space="0" w:color="auto"/>
        <w:bottom w:val="none" w:sz="0" w:space="0" w:color="auto"/>
        <w:right w:val="none" w:sz="0" w:space="0" w:color="auto"/>
      </w:divBdr>
    </w:div>
    <w:div w:id="1497570374">
      <w:bodyDiv w:val="1"/>
      <w:marLeft w:val="0"/>
      <w:marRight w:val="0"/>
      <w:marTop w:val="0"/>
      <w:marBottom w:val="0"/>
      <w:divBdr>
        <w:top w:val="none" w:sz="0" w:space="0" w:color="auto"/>
        <w:left w:val="none" w:sz="0" w:space="0" w:color="auto"/>
        <w:bottom w:val="none" w:sz="0" w:space="0" w:color="auto"/>
        <w:right w:val="none" w:sz="0" w:space="0" w:color="auto"/>
      </w:divBdr>
      <w:divsChild>
        <w:div w:id="609316282">
          <w:marLeft w:val="360"/>
          <w:marRight w:val="0"/>
          <w:marTop w:val="200"/>
          <w:marBottom w:val="0"/>
          <w:divBdr>
            <w:top w:val="none" w:sz="0" w:space="0" w:color="auto"/>
            <w:left w:val="none" w:sz="0" w:space="0" w:color="auto"/>
            <w:bottom w:val="none" w:sz="0" w:space="0" w:color="auto"/>
            <w:right w:val="none" w:sz="0" w:space="0" w:color="auto"/>
          </w:divBdr>
        </w:div>
        <w:div w:id="1554075367">
          <w:marLeft w:val="360"/>
          <w:marRight w:val="0"/>
          <w:marTop w:val="200"/>
          <w:marBottom w:val="0"/>
          <w:divBdr>
            <w:top w:val="none" w:sz="0" w:space="0" w:color="auto"/>
            <w:left w:val="none" w:sz="0" w:space="0" w:color="auto"/>
            <w:bottom w:val="none" w:sz="0" w:space="0" w:color="auto"/>
            <w:right w:val="none" w:sz="0" w:space="0" w:color="auto"/>
          </w:divBdr>
        </w:div>
        <w:div w:id="965964980">
          <w:marLeft w:val="360"/>
          <w:marRight w:val="0"/>
          <w:marTop w:val="200"/>
          <w:marBottom w:val="0"/>
          <w:divBdr>
            <w:top w:val="none" w:sz="0" w:space="0" w:color="auto"/>
            <w:left w:val="none" w:sz="0" w:space="0" w:color="auto"/>
            <w:bottom w:val="none" w:sz="0" w:space="0" w:color="auto"/>
            <w:right w:val="none" w:sz="0" w:space="0" w:color="auto"/>
          </w:divBdr>
        </w:div>
      </w:divsChild>
    </w:div>
    <w:div w:id="1651252962">
      <w:bodyDiv w:val="1"/>
      <w:marLeft w:val="0"/>
      <w:marRight w:val="0"/>
      <w:marTop w:val="0"/>
      <w:marBottom w:val="0"/>
      <w:divBdr>
        <w:top w:val="none" w:sz="0" w:space="0" w:color="auto"/>
        <w:left w:val="none" w:sz="0" w:space="0" w:color="auto"/>
        <w:bottom w:val="none" w:sz="0" w:space="0" w:color="auto"/>
        <w:right w:val="none" w:sz="0" w:space="0" w:color="auto"/>
      </w:divBdr>
      <w:divsChild>
        <w:div w:id="1761675007">
          <w:marLeft w:val="360"/>
          <w:marRight w:val="0"/>
          <w:marTop w:val="200"/>
          <w:marBottom w:val="0"/>
          <w:divBdr>
            <w:top w:val="none" w:sz="0" w:space="0" w:color="auto"/>
            <w:left w:val="none" w:sz="0" w:space="0" w:color="auto"/>
            <w:bottom w:val="none" w:sz="0" w:space="0" w:color="auto"/>
            <w:right w:val="none" w:sz="0" w:space="0" w:color="auto"/>
          </w:divBdr>
        </w:div>
      </w:divsChild>
    </w:div>
    <w:div w:id="1651405953">
      <w:bodyDiv w:val="1"/>
      <w:marLeft w:val="0"/>
      <w:marRight w:val="0"/>
      <w:marTop w:val="0"/>
      <w:marBottom w:val="0"/>
      <w:divBdr>
        <w:top w:val="none" w:sz="0" w:space="0" w:color="auto"/>
        <w:left w:val="none" w:sz="0" w:space="0" w:color="auto"/>
        <w:bottom w:val="none" w:sz="0" w:space="0" w:color="auto"/>
        <w:right w:val="none" w:sz="0" w:space="0" w:color="auto"/>
      </w:divBdr>
      <w:divsChild>
        <w:div w:id="1807695445">
          <w:marLeft w:val="360"/>
          <w:marRight w:val="0"/>
          <w:marTop w:val="200"/>
          <w:marBottom w:val="0"/>
          <w:divBdr>
            <w:top w:val="none" w:sz="0" w:space="0" w:color="auto"/>
            <w:left w:val="none" w:sz="0" w:space="0" w:color="auto"/>
            <w:bottom w:val="none" w:sz="0" w:space="0" w:color="auto"/>
            <w:right w:val="none" w:sz="0" w:space="0" w:color="auto"/>
          </w:divBdr>
        </w:div>
      </w:divsChild>
    </w:div>
    <w:div w:id="1962953343">
      <w:bodyDiv w:val="1"/>
      <w:marLeft w:val="0"/>
      <w:marRight w:val="0"/>
      <w:marTop w:val="0"/>
      <w:marBottom w:val="0"/>
      <w:divBdr>
        <w:top w:val="none" w:sz="0" w:space="0" w:color="auto"/>
        <w:left w:val="none" w:sz="0" w:space="0" w:color="auto"/>
        <w:bottom w:val="none" w:sz="0" w:space="0" w:color="auto"/>
        <w:right w:val="none" w:sz="0" w:space="0" w:color="auto"/>
      </w:divBdr>
      <w:divsChild>
        <w:div w:id="2062098527">
          <w:marLeft w:val="360"/>
          <w:marRight w:val="0"/>
          <w:marTop w:val="200"/>
          <w:marBottom w:val="0"/>
          <w:divBdr>
            <w:top w:val="none" w:sz="0" w:space="0" w:color="auto"/>
            <w:left w:val="none" w:sz="0" w:space="0" w:color="auto"/>
            <w:bottom w:val="none" w:sz="0" w:space="0" w:color="auto"/>
            <w:right w:val="none" w:sz="0" w:space="0" w:color="auto"/>
          </w:divBdr>
        </w:div>
      </w:divsChild>
    </w:div>
    <w:div w:id="2079553901">
      <w:bodyDiv w:val="1"/>
      <w:marLeft w:val="0"/>
      <w:marRight w:val="0"/>
      <w:marTop w:val="0"/>
      <w:marBottom w:val="0"/>
      <w:divBdr>
        <w:top w:val="none" w:sz="0" w:space="0" w:color="auto"/>
        <w:left w:val="none" w:sz="0" w:space="0" w:color="auto"/>
        <w:bottom w:val="none" w:sz="0" w:space="0" w:color="auto"/>
        <w:right w:val="none" w:sz="0" w:space="0" w:color="auto"/>
      </w:divBdr>
      <w:divsChild>
        <w:div w:id="1670063178">
          <w:marLeft w:val="360"/>
          <w:marRight w:val="0"/>
          <w:marTop w:val="200"/>
          <w:marBottom w:val="0"/>
          <w:divBdr>
            <w:top w:val="none" w:sz="0" w:space="0" w:color="auto"/>
            <w:left w:val="none" w:sz="0" w:space="0" w:color="auto"/>
            <w:bottom w:val="none" w:sz="0" w:space="0" w:color="auto"/>
            <w:right w:val="none" w:sz="0" w:space="0" w:color="auto"/>
          </w:divBdr>
        </w:div>
        <w:div w:id="1698844510">
          <w:marLeft w:val="360"/>
          <w:marRight w:val="0"/>
          <w:marTop w:val="200"/>
          <w:marBottom w:val="0"/>
          <w:divBdr>
            <w:top w:val="none" w:sz="0" w:space="0" w:color="auto"/>
            <w:left w:val="none" w:sz="0" w:space="0" w:color="auto"/>
            <w:bottom w:val="none" w:sz="0" w:space="0" w:color="auto"/>
            <w:right w:val="none" w:sz="0" w:space="0" w:color="auto"/>
          </w:divBdr>
        </w:div>
        <w:div w:id="12785620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1063</Words>
  <Characters>6060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dc:creator>
  <cp:keywords/>
  <dc:description/>
  <cp:lastModifiedBy>溝尾 妙子</cp:lastModifiedBy>
  <cp:revision>3</cp:revision>
  <dcterms:created xsi:type="dcterms:W3CDTF">2019-05-06T10:54:00Z</dcterms:created>
  <dcterms:modified xsi:type="dcterms:W3CDTF">2019-05-13T03:39:00Z</dcterms:modified>
</cp:coreProperties>
</file>